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E437" w14:textId="77777777" w:rsidR="00577884" w:rsidRDefault="00C85CCC">
      <w:pPr>
        <w:spacing w:line="48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西北农林科技大学</w:t>
      </w:r>
    </w:p>
    <w:p w14:paraId="5C3708BE" w14:textId="77777777" w:rsidR="00577884" w:rsidRDefault="00C85CCC">
      <w:pPr>
        <w:spacing w:line="48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乡村产业创新与管理</w:t>
      </w:r>
      <w:proofErr w:type="gramStart"/>
      <w:r>
        <w:rPr>
          <w:rFonts w:ascii="Times New Roman" w:eastAsia="方正小标宋_GBK" w:hAnsi="Times New Roman" w:cs="Times New Roman"/>
          <w:sz w:val="36"/>
          <w:szCs w:val="36"/>
        </w:rPr>
        <w:t>微专业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</w:rPr>
        <w:t>招生简章</w:t>
      </w:r>
    </w:p>
    <w:p w14:paraId="4657370B" w14:textId="77777777" w:rsidR="00577884" w:rsidRDefault="00577884">
      <w:pPr>
        <w:spacing w:line="480" w:lineRule="auto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1AE7688E" w14:textId="77777777" w:rsidR="00577884" w:rsidRDefault="00C85CCC">
      <w:pPr>
        <w:pStyle w:val="a7"/>
        <w:widowControl/>
        <w:shd w:val="clear" w:color="auto" w:fill="FFFFFF"/>
        <w:spacing w:line="48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一、专业简介</w:t>
      </w:r>
    </w:p>
    <w:p w14:paraId="3AA2D4F8" w14:textId="77777777" w:rsidR="00577884" w:rsidRDefault="00C85CCC">
      <w:pPr>
        <w:pStyle w:val="a7"/>
        <w:widowControl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西北农林科技大学乡村产业创新与管理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微专业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以产业创新与科技创新深度融合为核心路径，依托涉农高校学科优势，构建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技术</w:t>
      </w:r>
      <w:r>
        <w:rPr>
          <w:rFonts w:ascii="Times New Roman" w:eastAsia="仿宋" w:hAnsi="Times New Roman" w:cs="Times New Roman"/>
          <w:sz w:val="32"/>
          <w:szCs w:val="32"/>
        </w:rPr>
        <w:t>+</w:t>
      </w:r>
      <w:r>
        <w:rPr>
          <w:rFonts w:ascii="Times New Roman" w:eastAsia="仿宋" w:hAnsi="Times New Roman" w:cs="Times New Roman"/>
          <w:sz w:val="32"/>
          <w:szCs w:val="32"/>
        </w:rPr>
        <w:t>产业</w:t>
      </w:r>
      <w:r>
        <w:rPr>
          <w:rFonts w:ascii="Times New Roman" w:eastAsia="仿宋" w:hAnsi="Times New Roman" w:cs="Times New Roman"/>
          <w:sz w:val="32"/>
          <w:szCs w:val="32"/>
        </w:rPr>
        <w:t>+</w:t>
      </w:r>
      <w:r>
        <w:rPr>
          <w:rFonts w:ascii="Times New Roman" w:eastAsia="仿宋" w:hAnsi="Times New Roman" w:cs="Times New Roman"/>
          <w:sz w:val="32"/>
          <w:szCs w:val="32"/>
        </w:rPr>
        <w:t>政策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协同的培养体系。通过模块化、项目化课程设计，培养学生开展全产业链诊断、聚焦痛点进行创新设计、推动项目落地验证、面向区域进行推广示范的能力，系统掌握一套支撑产业创新发展的实践方法论。</w:t>
      </w:r>
    </w:p>
    <w:p w14:paraId="13D10F94" w14:textId="77777777" w:rsidR="00577884" w:rsidRDefault="00C85CCC">
      <w:pPr>
        <w:pStyle w:val="a7"/>
        <w:widowControl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这里，你将深入理解农业产业化的运行逻辑，学习在产业场景中推动科技与创新融合的方法，掌握如何识别、撬动和整合各类资源，积累运用创新方法和工具解决实际问题的能力，为你未来在产业一线、服务基层，推动创新变革奠定坚实的能力基础。</w:t>
      </w:r>
    </w:p>
    <w:p w14:paraId="564F604E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二、培养目标</w:t>
      </w:r>
    </w:p>
    <w:p w14:paraId="3E2E6B60" w14:textId="77777777" w:rsidR="00577884" w:rsidRDefault="00C85CCC">
      <w:pPr>
        <w:pStyle w:val="a7"/>
        <w:widowControl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本微专业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致力于培养适应农业现代化与数字化转型的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懂技术、善经营、能创新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高素质人才。</w:t>
      </w:r>
    </w:p>
    <w:p w14:paraId="15DA0FF4" w14:textId="77777777" w:rsidR="00577884" w:rsidRDefault="00C85CCC">
      <w:pPr>
        <w:pStyle w:val="a7"/>
        <w:widowControl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能力层面：掌握产业调研、问题诊断、产品与服务设计、商业模式构建、项目路演与运营管理等核心技能；熟练运用人工智能等新工具提升工作效率。</w:t>
      </w:r>
    </w:p>
    <w:p w14:paraId="69A2C174" w14:textId="77777777" w:rsidR="00577884" w:rsidRDefault="00C85CCC">
      <w:pPr>
        <w:pStyle w:val="a7"/>
        <w:widowControl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素养层面：强化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知农爱农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的责任意识；激发服务产业振兴的使命感与价值感；成为能在一线推动产业创新、科技创新与可持续发展的行动型人才。</w:t>
      </w:r>
    </w:p>
    <w:p w14:paraId="23E479BA" w14:textId="77777777" w:rsidR="00577884" w:rsidRDefault="00C85CCC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师资力量</w:t>
      </w:r>
    </w:p>
    <w:p w14:paraId="0F1E8E58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本微专业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拥有一支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高水平、跨学科、行业专家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的特色师资团队：成员涵盖创新创业教育专家、农业工程领域学者、涉农政策与实践型干部、城乡社会治理研究者，以</w:t>
      </w:r>
      <w:r>
        <w:rPr>
          <w:rFonts w:ascii="Times New Roman" w:eastAsia="仿宋" w:hAnsi="Times New Roman" w:cs="Times New Roman"/>
          <w:sz w:val="32"/>
          <w:szCs w:val="32"/>
        </w:rPr>
        <w:t>及社会企业行业领军者。团队兼具国际认证教学资质、国家级竞赛指导经验与产业一线实战背景，形成校内教授与行业导师协同授课、理论前沿与产业落地深度融合的育人格局，确保学生既能掌握系统方法论，又能对接真实产业资源。</w:t>
      </w:r>
    </w:p>
    <w:p w14:paraId="22477B2C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赵笑，副教授、硕士生导师，</w:t>
      </w:r>
      <w:r>
        <w:rPr>
          <w:rFonts w:ascii="Times New Roman" w:eastAsia="仿宋" w:hAnsi="Times New Roman" w:cs="Times New Roman"/>
          <w:sz w:val="32"/>
          <w:szCs w:val="32"/>
        </w:rPr>
        <w:t>SYB</w:t>
      </w:r>
      <w:r>
        <w:rPr>
          <w:rFonts w:ascii="Times New Roman" w:eastAsia="仿宋" w:hAnsi="Times New Roman" w:cs="Times New Roman"/>
          <w:sz w:val="32"/>
          <w:szCs w:val="32"/>
        </w:rPr>
        <w:t>培训师、</w:t>
      </w:r>
      <w:r>
        <w:rPr>
          <w:rFonts w:ascii="Times New Roman" w:eastAsia="仿宋" w:hAnsi="Times New Roman" w:cs="Times New Roman"/>
          <w:sz w:val="32"/>
          <w:szCs w:val="32"/>
        </w:rPr>
        <w:t>TAF</w:t>
      </w:r>
      <w:r>
        <w:rPr>
          <w:rFonts w:ascii="Times New Roman" w:eastAsia="仿宋" w:hAnsi="Times New Roman" w:cs="Times New Roman"/>
          <w:sz w:val="32"/>
          <w:szCs w:val="32"/>
        </w:rPr>
        <w:t>国际认证引导师、</w:t>
      </w:r>
      <w:r>
        <w:rPr>
          <w:rFonts w:ascii="Times New Roman" w:eastAsia="仿宋" w:hAnsi="Times New Roman" w:cs="Times New Roman"/>
          <w:sz w:val="32"/>
          <w:szCs w:val="32"/>
        </w:rPr>
        <w:t>GCDF</w:t>
      </w:r>
      <w:r>
        <w:rPr>
          <w:rFonts w:ascii="Times New Roman" w:eastAsia="仿宋" w:hAnsi="Times New Roman" w:cs="Times New Roman"/>
          <w:sz w:val="32"/>
          <w:szCs w:val="32"/>
        </w:rPr>
        <w:t>全球生涯引导师、</w:t>
      </w:r>
      <w:r>
        <w:rPr>
          <w:rFonts w:ascii="Times New Roman" w:eastAsia="仿宋" w:hAnsi="Times New Roman" w:cs="Times New Roman"/>
          <w:sz w:val="32"/>
          <w:szCs w:val="32"/>
        </w:rPr>
        <w:t>TRIZ</w:t>
      </w:r>
      <w:r>
        <w:rPr>
          <w:rFonts w:ascii="Times New Roman" w:eastAsia="仿宋" w:hAnsi="Times New Roman" w:cs="Times New Roman"/>
          <w:sz w:val="32"/>
          <w:szCs w:val="32"/>
        </w:rPr>
        <w:t>二级认证教练。长期聚焦创新创业教育与农业工程交叉研究，主讲《创业思维与实务》等课程，主持参与国家级、省部级项目</w:t>
      </w:r>
      <w:r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/>
          <w:sz w:val="32"/>
          <w:szCs w:val="32"/>
        </w:rPr>
        <w:t>项，发表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论文十余篇，获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批国家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发明专利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项。多次指导学生荣获中国国际大学生创新大赛、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挑战杯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竞赛国家级奖项。</w:t>
      </w:r>
    </w:p>
    <w:p w14:paraId="2B4CF91D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陈龙，农学博士，澳大利亚奋进学者，现任西北农林科技大学团委书记。曾于上海合作组织现代农业交流培训基地、农业农村部国际合作司挂职锻炼，获美国百森商学院创业教育师资认证、国际</w:t>
      </w:r>
      <w:r>
        <w:rPr>
          <w:rFonts w:ascii="Times New Roman" w:eastAsia="仿宋" w:hAnsi="Times New Roman" w:cs="Times New Roman"/>
          <w:sz w:val="32"/>
          <w:szCs w:val="32"/>
        </w:rPr>
        <w:t>TRIZ</w:t>
      </w:r>
      <w:r>
        <w:rPr>
          <w:rFonts w:ascii="Times New Roman" w:eastAsia="仿宋" w:hAnsi="Times New Roman" w:cs="Times New Roman"/>
          <w:sz w:val="32"/>
          <w:szCs w:val="32"/>
        </w:rPr>
        <w:t>协会二级认证。主讲《涉农创业实务》等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门课程，指导学生获国家级竞赛奖项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余项，参与完成省级教学成果特等奖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项、一等奖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项。</w:t>
      </w:r>
    </w:p>
    <w:p w14:paraId="42FD94DE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陈怀祥，副教授，创新创业教研室教师。主讲《创业基础》《大学生创新知能与训练》等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门课程，主持和参与省部级以上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课题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项，参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编国家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行业规划教材及著作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部。育人实践获陕西省研究生教育成果奖一等奖，</w:t>
      </w:r>
      <w:r>
        <w:rPr>
          <w:rFonts w:ascii="Times New Roman" w:eastAsia="仿宋" w:hAnsi="Times New Roman" w:cs="Times New Roman"/>
          <w:sz w:val="32"/>
          <w:szCs w:val="32"/>
        </w:rPr>
        <w:t>指导学生斩获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挑战杯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、中国国际大学生创新大赛省级及以上奖项</w:t>
      </w:r>
      <w:r>
        <w:rPr>
          <w:rFonts w:ascii="Times New Roman" w:eastAsia="仿宋" w:hAnsi="Times New Roman" w:cs="Times New Roman"/>
          <w:sz w:val="32"/>
          <w:szCs w:val="32"/>
        </w:rPr>
        <w:t>14</w:t>
      </w:r>
      <w:r>
        <w:rPr>
          <w:rFonts w:ascii="Times New Roman" w:eastAsia="仿宋" w:hAnsi="Times New Roman" w:cs="Times New Roman"/>
          <w:sz w:val="32"/>
          <w:szCs w:val="32"/>
        </w:rPr>
        <w:t>项，受聘为多所高校创新创业导师，担任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余个省市双创大赛评审专家。</w:t>
      </w:r>
    </w:p>
    <w:p w14:paraId="1544DF7E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马明，法学博士，西北农林科技大学人文社会发展学院教师。主要从事城乡社会治理、反贫困、社会救助、社会组织建设与社区社会工作研究。主持省部级课题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项，参与国家社科基金重大、重点项目，多项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咨政报告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获省厅级采纳。兼任昆明市官渡区社会工作督导、智库专家。多次指导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挑战杯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互联网</w:t>
      </w:r>
      <w:r>
        <w:rPr>
          <w:rFonts w:ascii="Times New Roman" w:eastAsia="仿宋" w:hAnsi="Times New Roman" w:cs="Times New Roman"/>
          <w:sz w:val="32"/>
          <w:szCs w:val="32"/>
        </w:rPr>
        <w:t>+”</w:t>
      </w:r>
      <w:r>
        <w:rPr>
          <w:rFonts w:ascii="Times New Roman" w:eastAsia="仿宋" w:hAnsi="Times New Roman" w:cs="Times New Roman"/>
          <w:sz w:val="32"/>
          <w:szCs w:val="32"/>
        </w:rPr>
        <w:t>等项目获国家级、省级特等奖等优异成绩。</w:t>
      </w:r>
    </w:p>
    <w:p w14:paraId="0E3EAC42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邵禹华，讲师，西北农林科技大学团委科技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创新部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部长，负责大学生创新创</w:t>
      </w:r>
      <w:r>
        <w:rPr>
          <w:rFonts w:ascii="Times New Roman" w:eastAsia="仿宋" w:hAnsi="Times New Roman" w:cs="Times New Roman"/>
          <w:sz w:val="32"/>
          <w:szCs w:val="32"/>
        </w:rPr>
        <w:t>业实践与双创竞赛组织工作。学校兼职职业指导师、双创导师、青年团校兼职教师。多次指导学生荣获中国国际大学生创新大赛、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挑战杯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竞赛国家级奖项。主持陕西省哲学社会科学研究专项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项，参与陕西高校创新创业教育在线开放课程建设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项。</w:t>
      </w:r>
    </w:p>
    <w:p w14:paraId="15631E65" w14:textId="77777777" w:rsidR="00577884" w:rsidRDefault="00C85CCC">
      <w:pPr>
        <w:pStyle w:val="a7"/>
        <w:widowControl/>
        <w:spacing w:line="6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刘玄奇，社企经济学创始人，社企星球（北京）科技集团有限公司董事长，彩虹星球社会企业研究院院长。发起中国社会企业周、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世界创客大会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、中国社会企业家训练营，受聘为多地人民政府社会企业发展顾问，担任湖南油溪桥村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荣誉村长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。短视频科普社会企业全网播放超</w:t>
      </w:r>
      <w:r>
        <w:rPr>
          <w:rFonts w:ascii="Times New Roman" w:eastAsia="仿宋" w:hAnsi="Times New Roman" w:cs="Times New Roman"/>
          <w:sz w:val="32"/>
          <w:szCs w:val="32"/>
        </w:rPr>
        <w:t>3000</w:t>
      </w:r>
      <w:r>
        <w:rPr>
          <w:rFonts w:ascii="Times New Roman" w:eastAsia="仿宋" w:hAnsi="Times New Roman" w:cs="Times New Roman"/>
          <w:sz w:val="32"/>
          <w:szCs w:val="32"/>
        </w:rPr>
        <w:t>万，致力于推动社会企业实践与公益创业</w:t>
      </w:r>
      <w:r>
        <w:rPr>
          <w:rFonts w:ascii="Times New Roman" w:eastAsia="仿宋" w:hAnsi="Times New Roman" w:cs="Times New Roman"/>
          <w:sz w:val="32"/>
          <w:szCs w:val="32"/>
        </w:rPr>
        <w:t>教育。</w:t>
      </w:r>
    </w:p>
    <w:p w14:paraId="1691C7EF" w14:textId="77777777" w:rsidR="00577884" w:rsidRDefault="00C85CCC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招生对象和计划</w:t>
      </w:r>
    </w:p>
    <w:p w14:paraId="71AFDAFC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招生对象：</w:t>
      </w:r>
      <w:r>
        <w:rPr>
          <w:rFonts w:ascii="Times New Roman" w:eastAsia="仿宋" w:hAnsi="Times New Roman" w:cs="Times New Roman"/>
          <w:sz w:val="32"/>
          <w:szCs w:val="32"/>
        </w:rPr>
        <w:t>我校在读大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至大二本科生</w:t>
      </w:r>
    </w:p>
    <w:p w14:paraId="0270FA79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招生计划：</w:t>
      </w:r>
      <w:r>
        <w:rPr>
          <w:rFonts w:ascii="Times New Roman" w:eastAsia="仿宋" w:hAnsi="Times New Roman" w:cs="Times New Roman"/>
          <w:sz w:val="32"/>
          <w:szCs w:val="32"/>
        </w:rPr>
        <w:t>首批计划招收</w:t>
      </w:r>
      <w:r>
        <w:rPr>
          <w:rFonts w:ascii="Times New Roman" w:eastAsia="仿宋" w:hAnsi="Times New Roman" w:cs="Times New Roman"/>
          <w:sz w:val="32"/>
          <w:szCs w:val="32"/>
        </w:rPr>
        <w:t>30</w:t>
      </w:r>
      <w:r>
        <w:rPr>
          <w:rFonts w:ascii="Times New Roman" w:eastAsia="仿宋" w:hAnsi="Times New Roman" w:cs="Times New Roman"/>
          <w:sz w:val="32"/>
          <w:szCs w:val="32"/>
        </w:rPr>
        <w:t>人</w:t>
      </w:r>
    </w:p>
    <w:p w14:paraId="4345B06D" w14:textId="77777777" w:rsidR="00577884" w:rsidRDefault="00C85CCC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学制、学分及证书</w:t>
      </w:r>
    </w:p>
    <w:p w14:paraId="638E0F7A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学制：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</w:p>
    <w:p w14:paraId="5BF4AFE8" w14:textId="1B80D669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学分：</w:t>
      </w:r>
      <w:r>
        <w:rPr>
          <w:rFonts w:ascii="Times New Roman" w:eastAsia="仿宋" w:hAnsi="Times New Roman" w:cs="Times New Roman"/>
          <w:sz w:val="32"/>
          <w:szCs w:val="32"/>
        </w:rPr>
        <w:t>15</w:t>
      </w:r>
      <w:r>
        <w:rPr>
          <w:rFonts w:ascii="Times New Roman" w:eastAsia="仿宋" w:hAnsi="Times New Roman" w:cs="Times New Roman"/>
          <w:sz w:val="32"/>
          <w:szCs w:val="32"/>
        </w:rPr>
        <w:t>学分</w:t>
      </w:r>
      <w:r w:rsidR="0043299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43299F">
        <w:rPr>
          <w:rFonts w:ascii="Times New Roman" w:eastAsia="仿宋" w:hAnsi="Times New Roman" w:cs="Times New Roman"/>
          <w:sz w:val="32"/>
          <w:szCs w:val="32"/>
        </w:rPr>
        <w:t>可同时认定为第二课堂必修学分</w:t>
      </w:r>
      <w:r w:rsidR="0043299F"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14:paraId="550D4965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证书发放：</w:t>
      </w:r>
      <w:r>
        <w:rPr>
          <w:rFonts w:ascii="Times New Roman" w:eastAsia="仿宋" w:hAnsi="Times New Roman" w:cs="Times New Roman"/>
          <w:sz w:val="32"/>
          <w:szCs w:val="32"/>
        </w:rPr>
        <w:t>学生在规定学习年限内，完成全部课程学习并考核合格者，由西北农林科技大学教务处负责统一颁发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乡村产业创新与管理微专业结业证书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本微专业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不授予学位。</w:t>
      </w:r>
    </w:p>
    <w:p w14:paraId="79C59A07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六、课程设置</w:t>
      </w:r>
    </w:p>
    <w:p w14:paraId="2CB305CA" w14:textId="77777777" w:rsidR="00577884" w:rsidRDefault="00C85CCC">
      <w:pPr>
        <w:pStyle w:val="a7"/>
        <w:widowControl/>
        <w:shd w:val="clear" w:color="auto" w:fill="FFFFFF"/>
        <w:spacing w:beforeLines="50" w:before="156" w:afterLines="50" w:after="156" w:line="560" w:lineRule="exact"/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bookmarkStart w:id="0" w:name="OLE_LINK14"/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课程设置及教学进程计划表</w:t>
      </w:r>
      <w:bookmarkEnd w:id="0"/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982"/>
        <w:gridCol w:w="2182"/>
        <w:gridCol w:w="531"/>
        <w:gridCol w:w="778"/>
        <w:gridCol w:w="654"/>
        <w:gridCol w:w="696"/>
        <w:gridCol w:w="872"/>
        <w:gridCol w:w="954"/>
        <w:gridCol w:w="662"/>
      </w:tblGrid>
      <w:tr w:rsidR="00577884" w14:paraId="1CBB8CED" w14:textId="77777777">
        <w:trPr>
          <w:trHeight w:val="512"/>
          <w:tblHeader/>
          <w:jc w:val="center"/>
        </w:trPr>
        <w:tc>
          <w:tcPr>
            <w:tcW w:w="389" w:type="dxa"/>
            <w:vMerge w:val="restart"/>
            <w:vAlign w:val="center"/>
          </w:tcPr>
          <w:p w14:paraId="6AF1EAF9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序号</w:t>
            </w:r>
          </w:p>
        </w:tc>
        <w:tc>
          <w:tcPr>
            <w:tcW w:w="982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0556E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课程编码</w:t>
            </w:r>
          </w:p>
        </w:tc>
        <w:tc>
          <w:tcPr>
            <w:tcW w:w="2182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A4A49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课程名称</w:t>
            </w:r>
          </w:p>
        </w:tc>
        <w:tc>
          <w:tcPr>
            <w:tcW w:w="531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08685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学分</w:t>
            </w:r>
          </w:p>
        </w:tc>
        <w:tc>
          <w:tcPr>
            <w:tcW w:w="778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57867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总</w:t>
            </w:r>
          </w:p>
          <w:p w14:paraId="7F88EA52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学时</w:t>
            </w:r>
          </w:p>
        </w:tc>
        <w:tc>
          <w:tcPr>
            <w:tcW w:w="1350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924300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学时分配</w:t>
            </w:r>
          </w:p>
        </w:tc>
        <w:tc>
          <w:tcPr>
            <w:tcW w:w="872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1308B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开课</w:t>
            </w:r>
          </w:p>
          <w:p w14:paraId="144FFA4C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学期</w:t>
            </w:r>
          </w:p>
        </w:tc>
        <w:tc>
          <w:tcPr>
            <w:tcW w:w="954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1F91F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开课</w:t>
            </w:r>
          </w:p>
          <w:p w14:paraId="0CFEF55C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学院</w:t>
            </w:r>
          </w:p>
        </w:tc>
        <w:tc>
          <w:tcPr>
            <w:tcW w:w="662" w:type="dxa"/>
            <w:vMerge w:val="restart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780F9" w14:textId="77777777" w:rsidR="00577884" w:rsidRDefault="00C85CCC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前置课程要求</w:t>
            </w:r>
          </w:p>
        </w:tc>
      </w:tr>
      <w:tr w:rsidR="00577884" w14:paraId="2AD25EE1" w14:textId="77777777">
        <w:trPr>
          <w:trHeight w:val="98"/>
          <w:tblHeader/>
          <w:jc w:val="center"/>
        </w:trPr>
        <w:tc>
          <w:tcPr>
            <w:tcW w:w="389" w:type="dxa"/>
            <w:vMerge/>
            <w:vAlign w:val="center"/>
          </w:tcPr>
          <w:p w14:paraId="621A29FA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982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93968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2182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C1F99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531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5221A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9FA09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A2D20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理论</w:t>
            </w:r>
          </w:p>
          <w:p w14:paraId="00E1DE40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学时</w:t>
            </w:r>
          </w:p>
        </w:tc>
        <w:tc>
          <w:tcPr>
            <w:tcW w:w="696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7E48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实验</w:t>
            </w:r>
          </w:p>
          <w:p w14:paraId="53A65653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6"/>
              </w:rPr>
              <w:t>学时</w:t>
            </w:r>
          </w:p>
        </w:tc>
        <w:tc>
          <w:tcPr>
            <w:tcW w:w="872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A805A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954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ABA23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662" w:type="dxa"/>
            <w:vMerge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3A874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2"/>
              </w:rPr>
            </w:pPr>
          </w:p>
        </w:tc>
      </w:tr>
      <w:tr w:rsidR="00577884" w14:paraId="0CED4073" w14:textId="77777777">
        <w:trPr>
          <w:trHeight w:val="567"/>
          <w:jc w:val="center"/>
        </w:trPr>
        <w:tc>
          <w:tcPr>
            <w:tcW w:w="389" w:type="dxa"/>
            <w:vAlign w:val="center"/>
          </w:tcPr>
          <w:p w14:paraId="638EB793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57A6F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W130401</w:t>
            </w:r>
          </w:p>
        </w:tc>
        <w:tc>
          <w:tcPr>
            <w:tcW w:w="21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6F414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乡村问题诊断与</w:t>
            </w:r>
          </w:p>
          <w:p w14:paraId="065E719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创新设计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79A65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B02EA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6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B85FA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F9FCA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D1C54C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春</w:t>
            </w: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AE84D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综合素质教育学院</w:t>
            </w: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E96D5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577884" w14:paraId="554D351E" w14:textId="77777777">
        <w:trPr>
          <w:trHeight w:val="567"/>
          <w:jc w:val="center"/>
        </w:trPr>
        <w:tc>
          <w:tcPr>
            <w:tcW w:w="389" w:type="dxa"/>
            <w:vAlign w:val="center"/>
          </w:tcPr>
          <w:p w14:paraId="04CE31CE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95DE3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W130402</w:t>
            </w:r>
          </w:p>
        </w:tc>
        <w:tc>
          <w:tcPr>
            <w:tcW w:w="21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3B43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农业产业</w:t>
            </w:r>
            <w:proofErr w:type="gramStart"/>
            <w:r>
              <w:rPr>
                <w:rFonts w:ascii="Times New Roman" w:eastAsia="仿宋" w:hAnsi="Times New Roman" w:cs="Times New Roman"/>
                <w:sz w:val="20"/>
                <w:szCs w:val="20"/>
              </w:rPr>
              <w:t>链创新</w:t>
            </w:r>
            <w:proofErr w:type="gramEnd"/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与</w:t>
            </w:r>
          </w:p>
          <w:p w14:paraId="71D496D6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乡村振兴实践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B8430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AC86D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6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7F721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09EA8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35B90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春</w:t>
            </w: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C768F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综合素质教育学院</w:t>
            </w: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D1E39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577884" w14:paraId="45E5D222" w14:textId="77777777">
        <w:trPr>
          <w:trHeight w:val="567"/>
          <w:jc w:val="center"/>
        </w:trPr>
        <w:tc>
          <w:tcPr>
            <w:tcW w:w="389" w:type="dxa"/>
            <w:vAlign w:val="center"/>
          </w:tcPr>
          <w:p w14:paraId="0DFB9386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72412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W230401</w:t>
            </w:r>
          </w:p>
        </w:tc>
        <w:tc>
          <w:tcPr>
            <w:tcW w:w="21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0F7658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农业创业案例解析与</w:t>
            </w:r>
          </w:p>
          <w:p w14:paraId="2D3BE377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全球化视野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2095F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E63BF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5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54EF6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2EC29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AD4F5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秋</w:t>
            </w: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8A2C8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综合素质教育学院</w:t>
            </w: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99C17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577884" w14:paraId="415B9537" w14:textId="77777777">
        <w:trPr>
          <w:trHeight w:val="567"/>
          <w:jc w:val="center"/>
        </w:trPr>
        <w:tc>
          <w:tcPr>
            <w:tcW w:w="389" w:type="dxa"/>
            <w:vAlign w:val="center"/>
          </w:tcPr>
          <w:p w14:paraId="1CBB2989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535AD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W330401</w:t>
            </w:r>
          </w:p>
        </w:tc>
        <w:tc>
          <w:tcPr>
            <w:tcW w:w="21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8FD9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农业科技创业与</w:t>
            </w:r>
          </w:p>
          <w:p w14:paraId="6004AE11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精益孵化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6AED3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D96AA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65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9D29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00A9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27395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春</w:t>
            </w: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8EE60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综合素质教育学院</w:t>
            </w: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DAB26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577884" w14:paraId="0BA7AC71" w14:textId="77777777">
        <w:trPr>
          <w:trHeight w:val="567"/>
          <w:jc w:val="center"/>
        </w:trPr>
        <w:tc>
          <w:tcPr>
            <w:tcW w:w="389" w:type="dxa"/>
            <w:vAlign w:val="center"/>
          </w:tcPr>
          <w:p w14:paraId="7178329A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A23B3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W430401</w:t>
            </w:r>
          </w:p>
        </w:tc>
        <w:tc>
          <w:tcPr>
            <w:tcW w:w="218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85747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人工智能赋能农业双创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9230C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25EB3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5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7BC9D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BA6BC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883528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2027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秋</w:t>
            </w: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BF9DE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综合素质教育学院</w:t>
            </w: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D6991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577884" w14:paraId="07A669A8" w14:textId="77777777">
        <w:trPr>
          <w:trHeight w:val="567"/>
          <w:jc w:val="center"/>
        </w:trPr>
        <w:tc>
          <w:tcPr>
            <w:tcW w:w="3553" w:type="dxa"/>
            <w:gridSpan w:val="3"/>
            <w:vAlign w:val="center"/>
          </w:tcPr>
          <w:p w14:paraId="3A8F3531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小计</w:t>
            </w:r>
          </w:p>
        </w:tc>
        <w:tc>
          <w:tcPr>
            <w:tcW w:w="5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87B99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A4FD6" w14:textId="77777777" w:rsidR="00577884" w:rsidRDefault="00C85CCC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0"/>
                <w:szCs w:val="20"/>
              </w:rPr>
              <w:t>400</w:t>
            </w:r>
          </w:p>
        </w:tc>
        <w:tc>
          <w:tcPr>
            <w:tcW w:w="65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58182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96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63DFB" w14:textId="77777777" w:rsidR="00577884" w:rsidRDefault="00C85CCC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8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49370" w14:textId="77777777" w:rsidR="00577884" w:rsidRDefault="00577884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8ED95" w14:textId="77777777" w:rsidR="00577884" w:rsidRDefault="00577884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F21F5" w14:textId="77777777" w:rsidR="00577884" w:rsidRDefault="00577884">
            <w:pPr>
              <w:widowControl/>
              <w:snapToGrid w:val="0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630079C" w14:textId="77777777" w:rsidR="00577884" w:rsidRDefault="00C85CCC">
      <w:pPr>
        <w:pStyle w:val="a7"/>
        <w:widowControl/>
        <w:shd w:val="clear" w:color="auto" w:fill="FFFFFF"/>
        <w:tabs>
          <w:tab w:val="left" w:pos="636"/>
        </w:tabs>
        <w:spacing w:beforeLines="50" w:before="156"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排班方式：单独编班，独立开班授课</w:t>
      </w:r>
    </w:p>
    <w:p w14:paraId="4BA09A47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开课时间：自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年春季学期起开课，理论课安排在学期内，实验课根据课程安排全年开展</w:t>
      </w:r>
    </w:p>
    <w:p w14:paraId="6B4B6EE1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上课时间：各门课程均利用晚上、周末或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假期</w:t>
      </w:r>
      <w:r>
        <w:rPr>
          <w:rFonts w:ascii="Times New Roman" w:eastAsia="仿宋" w:hAnsi="Times New Roman" w:cs="Times New Roman"/>
          <w:sz w:val="32"/>
          <w:szCs w:val="32"/>
        </w:rPr>
        <w:t>授课，具体课程开始时间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待学生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报名后确定。</w:t>
      </w:r>
    </w:p>
    <w:p w14:paraId="47E9ACD1" w14:textId="77777777" w:rsidR="00577884" w:rsidRDefault="00C85CCC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收费标准</w:t>
      </w:r>
    </w:p>
    <w:p w14:paraId="6A97AA29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微专业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修读实行学分制收费管理，具体收费标准以陕西省物价部门批复为准。</w:t>
      </w:r>
    </w:p>
    <w:p w14:paraId="5767D7BC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首批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微专业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面向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年招收首届学生，学校不收取学费。</w:t>
      </w:r>
    </w:p>
    <w:p w14:paraId="45CC3644" w14:textId="77777777" w:rsidR="00577884" w:rsidRDefault="00C85CCC">
      <w:pPr>
        <w:pStyle w:val="a7"/>
        <w:widowControl/>
        <w:numPr>
          <w:ilvl w:val="0"/>
          <w:numId w:val="2"/>
        </w:num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报名与选拔方式</w:t>
      </w:r>
    </w:p>
    <w:p w14:paraId="464AA8EB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报名方式：</w:t>
      </w:r>
      <w:r>
        <w:rPr>
          <w:rFonts w:ascii="Times New Roman" w:eastAsia="仿宋" w:hAnsi="Times New Roman" w:cs="Times New Roman"/>
          <w:sz w:val="32"/>
          <w:szCs w:val="32"/>
        </w:rPr>
        <w:t>请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31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17:00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前扫下方二维码报名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93F0D86" w14:textId="77777777" w:rsidR="00577884" w:rsidRDefault="00C85CCC">
      <w:pPr>
        <w:pStyle w:val="a7"/>
        <w:widowControl/>
        <w:shd w:val="clear" w:color="auto" w:fill="FFFFFF"/>
        <w:spacing w:line="480" w:lineRule="auto"/>
        <w:ind w:firstLineChars="200" w:firstLine="643"/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114300" distR="114300" wp14:anchorId="05A3994D" wp14:editId="703CBFCA">
            <wp:extent cx="3166745" cy="1769110"/>
            <wp:effectExtent l="0" t="0" r="0" b="0"/>
            <wp:docPr id="2" name="图片 2" descr="乡村产业创新与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乡村产业创新与管理"/>
                    <pic:cNvPicPr>
                      <a:picLocks noChangeAspect="1"/>
                    </pic:cNvPicPr>
                  </pic:nvPicPr>
                  <pic:blipFill>
                    <a:blip r:embed="rId7"/>
                    <a:srcRect l="10499"/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69277" w14:textId="77777777" w:rsidR="00577884" w:rsidRDefault="00C85CCC">
      <w:pPr>
        <w:pStyle w:val="a7"/>
        <w:widowControl/>
        <w:shd w:val="clear" w:color="auto" w:fill="FFFFFF"/>
        <w:spacing w:line="480" w:lineRule="auto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选拔方式：</w:t>
      </w:r>
    </w:p>
    <w:p w14:paraId="085DAF55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本微专业</w:t>
      </w:r>
      <w:proofErr w:type="gramEnd"/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面向全校大一、大二本科生开放报名。具体选拔流程如下：</w:t>
      </w:r>
    </w:p>
    <w:p w14:paraId="0D1C0A07" w14:textId="77777777" w:rsidR="00577884" w:rsidRDefault="00C85CCC">
      <w:pPr>
        <w:pStyle w:val="a7"/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8"/>
          <w:rFonts w:ascii="Times New Roman" w:eastAsia="仿宋" w:hAnsi="Times New Roman" w:cs="Times New Roman"/>
          <w:bCs/>
          <w:color w:val="0F1115"/>
          <w:sz w:val="32"/>
          <w:szCs w:val="32"/>
          <w:shd w:val="clear" w:color="auto" w:fill="FFFFFF"/>
        </w:rPr>
        <w:t>报名材料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：填写《乡村产业创新与管理微专业报名表》，内容包括个人基本信息、成绩排名、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200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字以内的个人陈述（说明申请动机、对产业创新的理解及相关实践经历）。</w:t>
      </w:r>
    </w:p>
    <w:p w14:paraId="07B96039" w14:textId="77777777" w:rsidR="00577884" w:rsidRDefault="00C85CCC">
      <w:pPr>
        <w:pStyle w:val="a7"/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8"/>
          <w:rFonts w:ascii="Times New Roman" w:eastAsia="仿宋" w:hAnsi="Times New Roman" w:cs="Times New Roman"/>
          <w:bCs/>
          <w:color w:val="0F1115"/>
          <w:sz w:val="32"/>
          <w:szCs w:val="32"/>
          <w:shd w:val="clear" w:color="auto" w:fill="FFFFFF"/>
        </w:rPr>
        <w:t>资格初审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：由综合素质教育学院组织教学团队对报名材料进行初审，筛选符合基本条件且动机明确的学生。</w:t>
      </w:r>
    </w:p>
    <w:p w14:paraId="6DAD2E97" w14:textId="77777777" w:rsidR="00577884" w:rsidRDefault="00C85CCC">
      <w:pPr>
        <w:pStyle w:val="a7"/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8"/>
          <w:rFonts w:ascii="Times New Roman" w:eastAsia="仿宋" w:hAnsi="Times New Roman" w:cs="Times New Roman"/>
          <w:bCs/>
          <w:color w:val="0F1115"/>
          <w:sz w:val="32"/>
          <w:szCs w:val="32"/>
          <w:shd w:val="clear" w:color="auto" w:fill="FFFFFF"/>
        </w:rPr>
        <w:t>综合评审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：通过初审者进入评审环节。评审采用材料评价方式，重点考察：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①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对产业创新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/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科技创新的认知与兴趣；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②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主动解决问题的意识或经历；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③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跨学科学习与合作的基础能力。必要时，将组织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5-10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分钟的线上面谈。</w:t>
      </w:r>
    </w:p>
    <w:p w14:paraId="27E1466D" w14:textId="77777777" w:rsidR="00577884" w:rsidRDefault="00C85CCC">
      <w:pPr>
        <w:pStyle w:val="a7"/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8"/>
          <w:rFonts w:ascii="Times New Roman" w:eastAsia="仿宋" w:hAnsi="Times New Roman" w:cs="Times New Roman"/>
          <w:bCs/>
          <w:color w:val="0F1115"/>
          <w:sz w:val="32"/>
          <w:szCs w:val="32"/>
          <w:shd w:val="clear" w:color="auto" w:fill="FFFFFF"/>
        </w:rPr>
        <w:lastRenderedPageBreak/>
        <w:t>录取公示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：根据评审结果择优确定拟录取名单（计划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30</w:t>
      </w: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人），公示无异议后正式录取。</w:t>
      </w:r>
    </w:p>
    <w:p w14:paraId="085788E9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F1115"/>
          <w:sz w:val="32"/>
          <w:szCs w:val="32"/>
          <w:shd w:val="clear" w:color="auto" w:fill="FFFFFF"/>
        </w:rPr>
        <w:t>未通过初次选拔者，如有补录名额，可按通知要求再次申请。</w:t>
      </w:r>
    </w:p>
    <w:p w14:paraId="212C06CC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八、联系方式</w:t>
      </w:r>
    </w:p>
    <w:p w14:paraId="310D83C5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联系人：赵老师</w:t>
      </w:r>
    </w:p>
    <w:p w14:paraId="6E84F73A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联系电话：</w:t>
      </w:r>
      <w:r>
        <w:rPr>
          <w:rFonts w:ascii="Times New Roman" w:eastAsia="仿宋" w:hAnsi="Times New Roman" w:cs="Times New Roman"/>
          <w:sz w:val="32"/>
          <w:szCs w:val="32"/>
        </w:rPr>
        <w:t>029-87091474</w:t>
      </w:r>
    </w:p>
    <w:p w14:paraId="7E0D6407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咨询地点：团委</w:t>
      </w:r>
      <w:r>
        <w:rPr>
          <w:rFonts w:ascii="Times New Roman" w:eastAsia="仿宋" w:hAnsi="Times New Roman" w:cs="Times New Roman"/>
          <w:sz w:val="32"/>
          <w:szCs w:val="32"/>
        </w:rPr>
        <w:t>113</w:t>
      </w:r>
      <w:r>
        <w:rPr>
          <w:rFonts w:ascii="Times New Roman" w:eastAsia="仿宋" w:hAnsi="Times New Roman" w:cs="Times New Roman"/>
          <w:sz w:val="32"/>
          <w:szCs w:val="32"/>
        </w:rPr>
        <w:t>办公室</w:t>
      </w:r>
    </w:p>
    <w:p w14:paraId="62C35967" w14:textId="77777777" w:rsidR="00577884" w:rsidRDefault="00C85CCC">
      <w:pPr>
        <w:pStyle w:val="a7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邮箱：</w:t>
      </w:r>
      <w:r>
        <w:rPr>
          <w:rFonts w:ascii="Times New Roman" w:eastAsia="仿宋" w:hAnsi="Times New Roman" w:cs="Times New Roman"/>
          <w:sz w:val="32"/>
          <w:szCs w:val="32"/>
        </w:rPr>
        <w:t>zhaoxiao0323@nwafu.edu.cn</w:t>
      </w:r>
    </w:p>
    <w:p w14:paraId="7B499DCE" w14:textId="77777777" w:rsidR="00577884" w:rsidRDefault="00577884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</w:p>
    <w:p w14:paraId="5237DC6C" w14:textId="77777777" w:rsidR="00577884" w:rsidRDefault="00577884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</w:p>
    <w:p w14:paraId="44100D5A" w14:textId="77777777" w:rsidR="00577884" w:rsidRDefault="00577884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</w:p>
    <w:p w14:paraId="36DD01AC" w14:textId="77777777" w:rsidR="00577884" w:rsidRDefault="00577884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</w:p>
    <w:p w14:paraId="5796045E" w14:textId="77777777" w:rsidR="00577884" w:rsidRDefault="00577884">
      <w:pPr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</w:p>
    <w:p w14:paraId="31325EAB" w14:textId="77777777" w:rsidR="00577884" w:rsidRDefault="00C85CCC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西北农林科技大学综合素</w:t>
      </w:r>
      <w:r>
        <w:rPr>
          <w:rFonts w:ascii="Times New Roman" w:eastAsia="仿宋" w:hAnsi="Times New Roman" w:cs="Times New Roman"/>
          <w:sz w:val="32"/>
          <w:szCs w:val="32"/>
        </w:rPr>
        <w:t>质教育学院</w:t>
      </w:r>
    </w:p>
    <w:p w14:paraId="74669BC3" w14:textId="77777777" w:rsidR="00577884" w:rsidRDefault="00C85CCC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</w:p>
    <w:p w14:paraId="1F727949" w14:textId="77777777" w:rsidR="00577884" w:rsidRDefault="00577884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577884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26DC" w14:textId="77777777" w:rsidR="00C85CCC" w:rsidRDefault="00C85CCC" w:rsidP="0043299F">
      <w:r>
        <w:separator/>
      </w:r>
    </w:p>
  </w:endnote>
  <w:endnote w:type="continuationSeparator" w:id="0">
    <w:p w14:paraId="35FE895B" w14:textId="77777777" w:rsidR="00C85CCC" w:rsidRDefault="00C85CCC" w:rsidP="0043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67FC" w14:textId="77777777" w:rsidR="00C85CCC" w:rsidRDefault="00C85CCC" w:rsidP="0043299F">
      <w:r>
        <w:separator/>
      </w:r>
    </w:p>
  </w:footnote>
  <w:footnote w:type="continuationSeparator" w:id="0">
    <w:p w14:paraId="341AC9B0" w14:textId="77777777" w:rsidR="00C85CCC" w:rsidRDefault="00C85CCC" w:rsidP="0043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2AB17"/>
    <w:multiLevelType w:val="singleLevel"/>
    <w:tmpl w:val="94D2AB1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894BC0"/>
    <w:rsid w:val="F6F9AFF9"/>
    <w:rsid w:val="FCFE15EC"/>
    <w:rsid w:val="00046270"/>
    <w:rsid w:val="000E1CF6"/>
    <w:rsid w:val="00155BCB"/>
    <w:rsid w:val="001805E9"/>
    <w:rsid w:val="00325300"/>
    <w:rsid w:val="0043299F"/>
    <w:rsid w:val="004848A6"/>
    <w:rsid w:val="004C0A19"/>
    <w:rsid w:val="004D0315"/>
    <w:rsid w:val="005411BF"/>
    <w:rsid w:val="00577884"/>
    <w:rsid w:val="005A45DD"/>
    <w:rsid w:val="005E1840"/>
    <w:rsid w:val="00610285"/>
    <w:rsid w:val="00634423"/>
    <w:rsid w:val="006B61E1"/>
    <w:rsid w:val="0070380E"/>
    <w:rsid w:val="007535BE"/>
    <w:rsid w:val="007646E7"/>
    <w:rsid w:val="007A6F74"/>
    <w:rsid w:val="008648A0"/>
    <w:rsid w:val="008874C8"/>
    <w:rsid w:val="0088783D"/>
    <w:rsid w:val="00907BF0"/>
    <w:rsid w:val="009718D8"/>
    <w:rsid w:val="009F6E9F"/>
    <w:rsid w:val="00B46EBD"/>
    <w:rsid w:val="00BA6B24"/>
    <w:rsid w:val="00BD1FD2"/>
    <w:rsid w:val="00BE2D50"/>
    <w:rsid w:val="00C76E37"/>
    <w:rsid w:val="00C85CCC"/>
    <w:rsid w:val="00D00DD2"/>
    <w:rsid w:val="00D769DE"/>
    <w:rsid w:val="00D83281"/>
    <w:rsid w:val="00E57F1E"/>
    <w:rsid w:val="00F0049C"/>
    <w:rsid w:val="00FE1B2D"/>
    <w:rsid w:val="03BD57DA"/>
    <w:rsid w:val="0876673A"/>
    <w:rsid w:val="091266F1"/>
    <w:rsid w:val="0B894BC0"/>
    <w:rsid w:val="1FEC4E88"/>
    <w:rsid w:val="24AA7567"/>
    <w:rsid w:val="31CB61BE"/>
    <w:rsid w:val="367B39F1"/>
    <w:rsid w:val="3A377697"/>
    <w:rsid w:val="3DA231B8"/>
    <w:rsid w:val="4168282C"/>
    <w:rsid w:val="41F02328"/>
    <w:rsid w:val="425D1B8B"/>
    <w:rsid w:val="44B93075"/>
    <w:rsid w:val="462A63A3"/>
    <w:rsid w:val="47095770"/>
    <w:rsid w:val="4A594559"/>
    <w:rsid w:val="4B6E4EE3"/>
    <w:rsid w:val="50941F8E"/>
    <w:rsid w:val="511345B5"/>
    <w:rsid w:val="51C55131"/>
    <w:rsid w:val="66BD02E6"/>
    <w:rsid w:val="695A1FC9"/>
    <w:rsid w:val="69EA2B13"/>
    <w:rsid w:val="6B19329D"/>
    <w:rsid w:val="6BFC0FB6"/>
    <w:rsid w:val="6D1E4F96"/>
    <w:rsid w:val="6F6E53A7"/>
    <w:rsid w:val="6FEE1FCA"/>
    <w:rsid w:val="71B2527A"/>
    <w:rsid w:val="726A7902"/>
    <w:rsid w:val="73394C49"/>
    <w:rsid w:val="751015E7"/>
    <w:rsid w:val="7A6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C0B85"/>
  <w15:docId w15:val="{2F67B3C7-4A60-4F06-A3FE-7727B5D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left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</dc:creator>
  <cp:lastModifiedBy>吴春燕</cp:lastModifiedBy>
  <cp:revision>28</cp:revision>
  <cp:lastPrinted>2026-04-07T12:23:00Z</cp:lastPrinted>
  <dcterms:created xsi:type="dcterms:W3CDTF">2026-03-17T10:03:00Z</dcterms:created>
  <dcterms:modified xsi:type="dcterms:W3CDTF">2026-04-07T06:58:00Z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81B1125BDF14F3C1C3A9D46965307446_43</vt:lpwstr>
  </property>
  <property fmtid="{D5CDD505-2E9C-101B-9397-08002B2CF9AE}" pid="4" name="KSOTemplateDocerSaveRecord">
    <vt:lpwstr>eyJoZGlkIjoiY2I1ZTRiNTljNjI5M2JjMGRmYTc0N2VlNTJlZjUyMDEiLCJ1c2VySWQiOiI0MTQzMTY0MDEifQ==</vt:lpwstr>
  </property>
</Properties>
</file>