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79A50">
      <w:pPr>
        <w:pStyle w:val="3"/>
        <w:spacing w:before="4" w:line="268" w:lineRule="auto"/>
        <w:ind w:left="0" w:leftChars="0" w:right="275" w:firstLine="0" w:firstLineChars="0"/>
        <w:jc w:val="center"/>
        <w:rPr>
          <w:rFonts w:hint="eastAsia" w:ascii="黑体" w:hAnsi="黑体" w:eastAsia="黑体" w:cs="黑体"/>
          <w:color w:val="auto"/>
          <w:kern w:val="2"/>
          <w:sz w:val="32"/>
          <w:szCs w:val="32"/>
          <w:highlight w:val="none"/>
          <w:lang w:val="en-US" w:eastAsia="zh-CN" w:bidi="zh-CN"/>
        </w:rPr>
      </w:pPr>
      <w:r>
        <w:rPr>
          <w:rFonts w:hint="eastAsia" w:ascii="黑体" w:hAnsi="黑体" w:eastAsia="黑体" w:cs="黑体"/>
          <w:color w:val="auto"/>
          <w:kern w:val="2"/>
          <w:sz w:val="32"/>
          <w:szCs w:val="32"/>
          <w:highlight w:val="none"/>
          <w:lang w:val="en-US" w:eastAsia="zh-CN" w:bidi="zh-CN"/>
        </w:rPr>
        <w:t>专业培养目标与毕业要求</w:t>
      </w:r>
    </w:p>
    <w:p w14:paraId="4B1AAFDA">
      <w:pPr>
        <w:keepNext w:val="0"/>
        <w:keepLines w:val="0"/>
        <w:pageBreakBefore w:val="0"/>
        <w:widowControl w:val="0"/>
        <w:shd w:val="clear" w:color="auto" w:fill="auto"/>
        <w:kinsoku/>
        <w:wordWrap/>
        <w:overflowPunct/>
        <w:topLinePunct w:val="0"/>
        <w:autoSpaceDE/>
        <w:autoSpaceDN/>
        <w:bidi w:val="0"/>
        <w:adjustRightInd/>
        <w:snapToGrid/>
        <w:spacing w:before="0" w:beforeLines="50" w:after="0" w:afterLines="50" w:line="240" w:lineRule="auto"/>
        <w:textAlignment w:val="auto"/>
        <w:rPr>
          <w:rFonts w:hint="eastAsia" w:ascii="黑体" w:hAnsi="黑体" w:eastAsia="黑体" w:cs="黑体"/>
          <w:b w:val="0"/>
          <w:bCs w:val="0"/>
          <w:color w:val="000000"/>
          <w:sz w:val="21"/>
          <w:szCs w:val="21"/>
          <w:highlight w:val="none"/>
        </w:rPr>
      </w:pPr>
      <w:r>
        <w:rPr>
          <w:rFonts w:hint="eastAsia" w:ascii="黑体" w:hAnsi="黑体" w:eastAsia="黑体" w:cs="黑体"/>
          <w:b w:val="0"/>
          <w:bCs w:val="0"/>
          <w:color w:val="000000"/>
          <w:sz w:val="21"/>
          <w:szCs w:val="21"/>
          <w:highlight w:val="none"/>
        </w:rPr>
        <w:t>专业代码：</w:t>
      </w:r>
    </w:p>
    <w:p w14:paraId="45C8EC94">
      <w:pPr>
        <w:keepNext w:val="0"/>
        <w:keepLines w:val="0"/>
        <w:pageBreakBefore w:val="0"/>
        <w:widowControl w:val="0"/>
        <w:shd w:val="clear" w:color="auto" w:fill="auto"/>
        <w:kinsoku/>
        <w:wordWrap/>
        <w:overflowPunct/>
        <w:topLinePunct w:val="0"/>
        <w:autoSpaceDE/>
        <w:autoSpaceDN/>
        <w:bidi w:val="0"/>
        <w:adjustRightInd/>
        <w:snapToGrid/>
        <w:spacing w:before="0" w:beforeLines="50" w:after="0" w:afterLines="50" w:line="240" w:lineRule="auto"/>
        <w:textAlignment w:val="auto"/>
        <w:rPr>
          <w:rFonts w:hint="eastAsia" w:ascii="黑体" w:hAnsi="黑体" w:eastAsia="黑体" w:cs="黑体"/>
          <w:b w:val="0"/>
          <w:bCs w:val="0"/>
          <w:color w:val="000000"/>
          <w:sz w:val="21"/>
          <w:szCs w:val="21"/>
          <w:highlight w:val="none"/>
          <w:lang w:val="en-US" w:eastAsia="zh-CN"/>
        </w:rPr>
      </w:pPr>
      <w:r>
        <w:rPr>
          <w:rFonts w:hint="eastAsia" w:ascii="黑体" w:hAnsi="黑体" w:eastAsia="黑体" w:cs="黑体"/>
          <w:b w:val="0"/>
          <w:bCs w:val="0"/>
          <w:color w:val="000000"/>
          <w:sz w:val="21"/>
          <w:szCs w:val="21"/>
          <w:highlight w:val="none"/>
          <w:lang w:val="en-US" w:eastAsia="zh-CN"/>
        </w:rPr>
        <w:t>专业名称：</w:t>
      </w:r>
    </w:p>
    <w:p w14:paraId="7D915002">
      <w:pPr>
        <w:keepNext w:val="0"/>
        <w:keepLines w:val="0"/>
        <w:pageBreakBefore w:val="0"/>
        <w:widowControl w:val="0"/>
        <w:shd w:val="clear" w:color="auto" w:fill="auto"/>
        <w:kinsoku/>
        <w:wordWrap/>
        <w:overflowPunct/>
        <w:topLinePunct w:val="0"/>
        <w:autoSpaceDE/>
        <w:autoSpaceDN/>
        <w:bidi w:val="0"/>
        <w:adjustRightInd/>
        <w:snapToGrid/>
        <w:spacing w:before="0" w:beforeLines="50" w:after="0" w:afterLines="50" w:line="240" w:lineRule="auto"/>
        <w:textAlignment w:val="auto"/>
        <w:rPr>
          <w:rFonts w:hint="eastAsia" w:ascii="黑体" w:hAnsi="黑体" w:eastAsia="黑体" w:cs="黑体"/>
          <w:b w:val="0"/>
          <w:bCs w:val="0"/>
          <w:color w:val="000000"/>
          <w:sz w:val="21"/>
          <w:szCs w:val="21"/>
          <w:highlight w:val="none"/>
          <w:lang w:val="en-US" w:eastAsia="zh-CN"/>
        </w:rPr>
      </w:pPr>
      <w:r>
        <w:rPr>
          <w:rFonts w:hint="eastAsia" w:ascii="黑体" w:hAnsi="黑体" w:eastAsia="黑体" w:cs="黑体"/>
          <w:b w:val="0"/>
          <w:bCs w:val="0"/>
          <w:color w:val="000000"/>
          <w:sz w:val="21"/>
          <w:szCs w:val="21"/>
          <w:highlight w:val="none"/>
          <w:lang w:val="en-US" w:eastAsia="zh-CN"/>
        </w:rPr>
        <w:t>专业类别：</w:t>
      </w:r>
    </w:p>
    <w:p w14:paraId="55F3124D">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黑体" w:hAnsi="黑体" w:eastAsia="黑体" w:cs="黑体"/>
          <w:color w:val="4874CB" w:themeColor="accent1"/>
          <w:kern w:val="2"/>
          <w:sz w:val="21"/>
          <w:szCs w:val="21"/>
          <w:highlight w:val="none"/>
          <w:lang w:val="en-US" w:eastAsia="zh-CN" w:bidi="zh-CN"/>
          <w14:textFill>
            <w14:solidFill>
              <w14:schemeClr w14:val="accent1"/>
            </w14:solidFill>
          </w14:textFill>
        </w:rPr>
      </w:pPr>
      <w:r>
        <w:rPr>
          <w:rFonts w:hint="eastAsia" w:ascii="黑体" w:hAnsi="黑体" w:eastAsia="黑体" w:cs="黑体"/>
          <w:color w:val="4874CB" w:themeColor="accent1"/>
          <w:kern w:val="2"/>
          <w:sz w:val="21"/>
          <w:szCs w:val="21"/>
          <w:highlight w:val="none"/>
          <w:lang w:val="en-US" w:eastAsia="zh-CN" w:bidi="zh-CN"/>
          <w14:textFill>
            <w14:solidFill>
              <w14:schemeClr w14:val="accent1"/>
            </w14:solidFill>
          </w14:textFill>
        </w:rPr>
        <w:t>专业简介：主要包括专业历史沿革、优势和特色、人才培养的基本条件（如：师资队伍、实验实习平台等），突出专业核心竞争力。（限300字）</w:t>
      </w:r>
    </w:p>
    <w:p w14:paraId="0980124A">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黑体" w:hAnsi="黑体" w:eastAsia="黑体" w:cs="黑体"/>
          <w:color w:val="4874CB" w:themeColor="accent1"/>
          <w:kern w:val="2"/>
          <w:sz w:val="21"/>
          <w:szCs w:val="21"/>
          <w:highlight w:val="none"/>
          <w:lang w:val="en-US" w:eastAsia="zh-CN" w:bidi="zh-CN"/>
          <w14:textFill>
            <w14:solidFill>
              <w14:schemeClr w14:val="accent1"/>
            </w14:solidFill>
          </w14:textFill>
        </w:rPr>
      </w:pPr>
    </w:p>
    <w:p w14:paraId="13F57DB1">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黑体" w:hAnsi="黑体" w:eastAsia="黑体" w:cs="黑体"/>
          <w:color w:val="4874CB" w:themeColor="accent1"/>
          <w:kern w:val="2"/>
          <w:sz w:val="21"/>
          <w:szCs w:val="21"/>
          <w:highlight w:val="none"/>
          <w:lang w:val="en-US" w:eastAsia="zh-CN" w:bidi="zh-CN"/>
          <w14:textFill>
            <w14:solidFill>
              <w14:schemeClr w14:val="accent1"/>
            </w14:solidFill>
          </w14:textFill>
        </w:rPr>
      </w:pPr>
    </w:p>
    <w:p w14:paraId="68A38F82">
      <w:pPr>
        <w:keepNext w:val="0"/>
        <w:keepLines w:val="0"/>
        <w:pageBreakBefore w:val="0"/>
        <w:widowControl/>
        <w:numPr>
          <w:ilvl w:val="0"/>
          <w:numId w:val="1"/>
        </w:numPr>
        <w:kinsoku/>
        <w:wordWrap/>
        <w:overflowPunct/>
        <w:topLinePunct w:val="0"/>
        <w:autoSpaceDE/>
        <w:autoSpaceDN/>
        <w:bidi w:val="0"/>
        <w:adjustRightInd/>
        <w:snapToGrid/>
        <w:spacing w:before="0" w:beforeLines="50" w:after="0" w:afterLines="50" w:line="320" w:lineRule="exact"/>
        <w:ind w:firstLine="420" w:firstLineChars="200"/>
        <w:jc w:val="left"/>
        <w:textAlignment w:val="auto"/>
        <w:rPr>
          <w:rFonts w:hint="eastAsia" w:ascii="黑体" w:hAnsi="黑体" w:eastAsia="黑体"/>
        </w:rPr>
      </w:pPr>
      <w:r>
        <w:rPr>
          <w:rFonts w:hint="eastAsia" w:ascii="黑体" w:hAnsi="黑体" w:eastAsia="黑体"/>
        </w:rPr>
        <w:t>培养目标</w:t>
      </w:r>
    </w:p>
    <w:p w14:paraId="6BB63195">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黑体" w:hAnsi="黑体" w:eastAsia="黑体" w:cs="黑体"/>
          <w:color w:val="4874CB" w:themeColor="accent1"/>
          <w:kern w:val="2"/>
          <w:sz w:val="21"/>
          <w:szCs w:val="21"/>
          <w:highlight w:val="none"/>
          <w:lang w:val="en-US" w:eastAsia="zh-CN" w:bidi="zh-CN"/>
          <w14:textFill>
            <w14:solidFill>
              <w14:schemeClr w14:val="accent1"/>
            </w14:solidFill>
          </w14:textFill>
        </w:rPr>
      </w:pPr>
      <w:r>
        <w:rPr>
          <w:rFonts w:hint="eastAsia" w:ascii="黑体" w:hAnsi="黑体" w:eastAsia="黑体" w:cs="黑体"/>
          <w:color w:val="4874CB" w:themeColor="accent1"/>
          <w:kern w:val="2"/>
          <w:sz w:val="21"/>
          <w:szCs w:val="21"/>
          <w:highlight w:val="none"/>
          <w:lang w:val="en-US" w:eastAsia="zh-CN" w:bidi="zh-CN"/>
          <w14:textFill>
            <w14:solidFill>
              <w14:schemeClr w14:val="accent1"/>
            </w14:solidFill>
          </w14:textFill>
        </w:rPr>
        <w:t>（人才培养目标的总体描述）</w:t>
      </w:r>
    </w:p>
    <w:p w14:paraId="315E4CB3">
      <w:pPr>
        <w:pStyle w:val="3"/>
        <w:spacing w:before="4" w:line="268" w:lineRule="auto"/>
        <w:ind w:right="275" w:firstLine="420" w:firstLineChars="200"/>
        <w:rPr>
          <w:rFonts w:hint="eastAsia" w:cs="Times New Roman"/>
          <w:color w:val="000000"/>
          <w:kern w:val="2"/>
          <w:sz w:val="21"/>
          <w:szCs w:val="21"/>
          <w:lang w:val="en-US" w:eastAsia="zh-CN" w:bidi="ar-SA"/>
        </w:rPr>
      </w:pPr>
      <w:r>
        <w:rPr>
          <w:rFonts w:hint="eastAsia" w:cs="Times New Roman"/>
          <w:color w:val="000000"/>
          <w:kern w:val="2"/>
          <w:sz w:val="21"/>
          <w:szCs w:val="21"/>
          <w:lang w:val="en-US" w:eastAsia="zh-CN" w:bidi="ar-SA"/>
        </w:rPr>
        <w:t>学生毕业5年后，预期达到以下目标：</w:t>
      </w:r>
    </w:p>
    <w:p w14:paraId="3D5C5271">
      <w:pPr>
        <w:spacing w:line="40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1.</w:t>
      </w:r>
    </w:p>
    <w:p w14:paraId="10DF6841">
      <w:pPr>
        <w:spacing w:line="40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2.</w:t>
      </w:r>
    </w:p>
    <w:p w14:paraId="363A465A">
      <w:pPr>
        <w:spacing w:line="40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3.</w:t>
      </w:r>
    </w:p>
    <w:p w14:paraId="3F98F6D2">
      <w:pPr>
        <w:spacing w:line="400" w:lineRule="exact"/>
        <w:ind w:firstLine="420" w:firstLineChars="200"/>
        <w:rPr>
          <w:rFonts w:hint="default" w:ascii="宋体" w:hAnsi="宋体"/>
          <w:color w:val="000000"/>
          <w:szCs w:val="21"/>
          <w:lang w:val="en-US" w:eastAsia="zh-CN"/>
        </w:rPr>
      </w:pPr>
      <w:r>
        <w:rPr>
          <w:rFonts w:hint="eastAsia" w:ascii="宋体" w:hAnsi="宋体"/>
          <w:color w:val="000000"/>
          <w:szCs w:val="21"/>
          <w:lang w:val="en-US" w:eastAsia="zh-CN"/>
        </w:rPr>
        <w:t>......</w:t>
      </w:r>
    </w:p>
    <w:p w14:paraId="136EBCF6">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黑体" w:hAnsi="黑体" w:eastAsia="黑体" w:cs="黑体"/>
          <w:color w:val="4874CB" w:themeColor="accent1"/>
          <w:kern w:val="2"/>
          <w:sz w:val="21"/>
          <w:szCs w:val="21"/>
          <w:highlight w:val="none"/>
          <w:lang w:val="en-US" w:eastAsia="zh-CN" w:bidi="zh-CN"/>
          <w14:textFill>
            <w14:solidFill>
              <w14:schemeClr w14:val="accent1"/>
            </w14:solidFill>
          </w14:textFill>
        </w:rPr>
      </w:pPr>
      <w:r>
        <w:rPr>
          <w:rFonts w:hint="eastAsia" w:ascii="黑体" w:hAnsi="黑体" w:eastAsia="黑体" w:cs="黑体"/>
          <w:color w:val="4874CB" w:themeColor="accent1"/>
          <w:kern w:val="2"/>
          <w:sz w:val="21"/>
          <w:szCs w:val="21"/>
          <w:highlight w:val="none"/>
          <w:lang w:val="en-US" w:eastAsia="zh-CN" w:bidi="zh-CN"/>
          <w14:textFill>
            <w14:solidFill>
              <w14:schemeClr w14:val="accent1"/>
            </w14:solidFill>
          </w14:textFill>
        </w:rPr>
        <w:t>（具体描述包括毕业生能够解决专业对应服务领域涉及的复杂应用问题的能力以及相关知识、能力和素质）</w:t>
      </w:r>
    </w:p>
    <w:p w14:paraId="5B69109B">
      <w:pPr>
        <w:keepNext w:val="0"/>
        <w:keepLines w:val="0"/>
        <w:pageBreakBefore w:val="0"/>
        <w:widowControl/>
        <w:kinsoku/>
        <w:wordWrap/>
        <w:overflowPunct/>
        <w:topLinePunct w:val="0"/>
        <w:autoSpaceDE/>
        <w:autoSpaceDN/>
        <w:bidi w:val="0"/>
        <w:adjustRightInd/>
        <w:snapToGrid/>
        <w:spacing w:before="0" w:beforeLines="50" w:after="0" w:afterLines="50" w:line="320" w:lineRule="exact"/>
        <w:ind w:firstLine="420" w:firstLineChars="200"/>
        <w:jc w:val="left"/>
        <w:textAlignment w:val="auto"/>
        <w:rPr>
          <w:rFonts w:hint="eastAsia" w:ascii="黑体" w:hAnsi="黑体" w:eastAsia="黑体"/>
        </w:rPr>
      </w:pPr>
      <w:r>
        <w:rPr>
          <w:rFonts w:hint="eastAsia" w:ascii="黑体" w:hAnsi="黑体" w:eastAsia="黑体"/>
        </w:rPr>
        <w:t>二、毕业要求</w:t>
      </w:r>
    </w:p>
    <w:p w14:paraId="04CA6FCE">
      <w:pPr>
        <w:spacing w:line="40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经过本科阶段的系统学习，本专业学生在毕业时应达成以下毕业要求：</w:t>
      </w:r>
    </w:p>
    <w:p w14:paraId="2DEB16EB">
      <w:pPr>
        <w:spacing w:line="40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1.</w:t>
      </w:r>
    </w:p>
    <w:p w14:paraId="5247AA35">
      <w:pPr>
        <w:spacing w:line="40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1-1</w:t>
      </w:r>
    </w:p>
    <w:p w14:paraId="18A50089">
      <w:pPr>
        <w:spacing w:line="40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1-2</w:t>
      </w:r>
    </w:p>
    <w:p w14:paraId="2B488C82">
      <w:pPr>
        <w:spacing w:line="400" w:lineRule="exact"/>
        <w:ind w:firstLine="420" w:firstLineChars="200"/>
        <w:rPr>
          <w:rFonts w:hint="default" w:ascii="宋体" w:hAnsi="宋体"/>
          <w:color w:val="000000"/>
          <w:szCs w:val="21"/>
          <w:lang w:val="en-US" w:eastAsia="zh-CN"/>
        </w:rPr>
      </w:pPr>
      <w:r>
        <w:rPr>
          <w:rFonts w:hint="eastAsia" w:ascii="宋体" w:hAnsi="宋体"/>
          <w:color w:val="000000"/>
          <w:szCs w:val="21"/>
          <w:lang w:val="en-US" w:eastAsia="zh-CN"/>
        </w:rPr>
        <w:t>......</w:t>
      </w:r>
    </w:p>
    <w:p w14:paraId="7867C22F">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黑体" w:hAnsi="黑体" w:eastAsia="黑体" w:cs="黑体"/>
          <w:color w:val="4874CB" w:themeColor="accent1"/>
          <w:kern w:val="2"/>
          <w:sz w:val="21"/>
          <w:szCs w:val="21"/>
          <w:highlight w:val="none"/>
          <w:lang w:val="en-US" w:eastAsia="zh-CN" w:bidi="zh-CN"/>
          <w14:textFill>
            <w14:solidFill>
              <w14:schemeClr w14:val="accent1"/>
            </w14:solidFill>
          </w14:textFill>
        </w:rPr>
      </w:pPr>
      <w:r>
        <w:rPr>
          <w:rFonts w:hint="eastAsia" w:ascii="黑体" w:hAnsi="黑体" w:eastAsia="黑体" w:cs="黑体"/>
          <w:color w:val="4874CB" w:themeColor="accent1"/>
          <w:kern w:val="2"/>
          <w:sz w:val="21"/>
          <w:szCs w:val="21"/>
          <w:highlight w:val="none"/>
          <w:lang w:val="en-US" w:eastAsia="zh-CN" w:bidi="zh-CN"/>
          <w14:textFill>
            <w14:solidFill>
              <w14:schemeClr w14:val="accent1"/>
            </w14:solidFill>
          </w14:textFill>
        </w:rPr>
        <w:t>（工学、农学门类专业分别参照《工程教育认证标准（</w:t>
      </w:r>
      <w:r>
        <w:rPr>
          <w:rFonts w:hint="default" w:ascii="黑体" w:hAnsi="黑体" w:eastAsia="黑体" w:cs="黑体"/>
          <w:color w:val="4874CB" w:themeColor="accent1"/>
          <w:kern w:val="2"/>
          <w:sz w:val="21"/>
          <w:szCs w:val="21"/>
          <w:highlight w:val="none"/>
          <w:lang w:val="en-US" w:eastAsia="zh-CN" w:bidi="zh-CN"/>
          <w14:textFill>
            <w14:solidFill>
              <w14:schemeClr w14:val="accent1"/>
            </w14:solidFill>
          </w14:textFill>
        </w:rPr>
        <w:t xml:space="preserve">2024 </w:t>
      </w:r>
      <w:r>
        <w:rPr>
          <w:rFonts w:hint="eastAsia" w:ascii="黑体" w:hAnsi="黑体" w:eastAsia="黑体" w:cs="黑体"/>
          <w:color w:val="4874CB" w:themeColor="accent1"/>
          <w:kern w:val="2"/>
          <w:sz w:val="21"/>
          <w:szCs w:val="21"/>
          <w:highlight w:val="none"/>
          <w:lang w:val="en-US" w:eastAsia="zh-CN" w:bidi="zh-CN"/>
          <w14:textFill>
            <w14:solidFill>
              <w14:schemeClr w14:val="accent1"/>
            </w14:solidFill>
          </w14:textFill>
        </w:rPr>
        <w:t>版）》《三级认证第三级国家级一流认证</w:t>
      </w:r>
      <w:r>
        <w:rPr>
          <w:rFonts w:hint="default" w:ascii="黑体" w:hAnsi="黑体" w:eastAsia="黑体" w:cs="黑体"/>
          <w:color w:val="4874CB" w:themeColor="accent1"/>
          <w:kern w:val="2"/>
          <w:sz w:val="21"/>
          <w:szCs w:val="21"/>
          <w:highlight w:val="none"/>
          <w:lang w:val="en-US" w:eastAsia="zh-CN" w:bidi="zh-CN"/>
          <w14:textFill>
            <w14:solidFill>
              <w14:schemeClr w14:val="accent1"/>
            </w14:solidFill>
          </w14:textFill>
        </w:rPr>
        <w:t>定性标准</w:t>
      </w:r>
      <w:r>
        <w:rPr>
          <w:rFonts w:hint="eastAsia" w:ascii="黑体" w:hAnsi="黑体" w:eastAsia="黑体" w:cs="黑体"/>
          <w:color w:val="4874CB" w:themeColor="accent1"/>
          <w:kern w:val="2"/>
          <w:sz w:val="21"/>
          <w:szCs w:val="21"/>
          <w:highlight w:val="none"/>
          <w:lang w:val="en-US" w:eastAsia="zh-CN" w:bidi="zh-CN"/>
          <w14:textFill>
            <w14:solidFill>
              <w14:schemeClr w14:val="accent1"/>
            </w14:solidFill>
          </w14:textFill>
        </w:rPr>
        <w:t>》中的毕业要求制定，其他没有认证标准的专业，可参照执行，要体现通用标准+专业特色。毕业要求应符合专业培养目标定位和专业特色，避免同质化。每项毕业要求要分解成2-4 个可衡量、可评价、有逻辑性的指标点</w:t>
      </w:r>
      <w:r>
        <w:rPr>
          <w:rFonts w:hint="default" w:ascii="黑体" w:hAnsi="黑体" w:eastAsia="黑体" w:cs="黑体"/>
          <w:color w:val="4874CB" w:themeColor="accent1"/>
          <w:kern w:val="2"/>
          <w:sz w:val="21"/>
          <w:szCs w:val="21"/>
          <w:highlight w:val="none"/>
          <w:lang w:val="en-US" w:eastAsia="zh-CN" w:bidi="zh-CN"/>
          <w14:textFill>
            <w14:solidFill>
              <w14:schemeClr w14:val="accent1"/>
            </w14:solidFill>
          </w14:textFill>
        </w:rPr>
        <w:t>，形成对培养目标的精准支撑</w:t>
      </w:r>
      <w:r>
        <w:rPr>
          <w:rFonts w:hint="eastAsia" w:ascii="黑体" w:hAnsi="黑体" w:eastAsia="黑体" w:cs="黑体"/>
          <w:color w:val="4874CB" w:themeColor="accent1"/>
          <w:kern w:val="2"/>
          <w:sz w:val="21"/>
          <w:szCs w:val="21"/>
          <w:highlight w:val="none"/>
          <w:lang w:val="en-US" w:eastAsia="zh-CN" w:bidi="zh-CN"/>
          <w14:textFill>
            <w14:solidFill>
              <w14:schemeClr w14:val="accent1"/>
            </w14:solidFill>
          </w14:textFill>
        </w:rPr>
        <w:t>。）</w:t>
      </w:r>
    </w:p>
    <w:p w14:paraId="29B4688A">
      <w:pPr>
        <w:spacing w:line="400" w:lineRule="exact"/>
        <w:ind w:firstLine="420" w:firstLineChars="200"/>
        <w:rPr>
          <w:rFonts w:hint="eastAsia" w:ascii="宋体" w:hAnsi="宋体"/>
          <w:color w:val="000000"/>
          <w:szCs w:val="21"/>
          <w:lang w:val="en-US" w:eastAsia="zh-CN"/>
        </w:rPr>
      </w:pPr>
    </w:p>
    <w:p w14:paraId="57D82B46">
      <w:pPr>
        <w:spacing w:line="400" w:lineRule="exact"/>
        <w:ind w:firstLine="420" w:firstLineChars="200"/>
        <w:rPr>
          <w:rFonts w:hint="eastAsia" w:ascii="宋体" w:hAnsi="宋体"/>
          <w:color w:val="000000"/>
          <w:szCs w:val="21"/>
          <w:lang w:val="en-US" w:eastAsia="zh-CN"/>
        </w:rPr>
      </w:pPr>
    </w:p>
    <w:p w14:paraId="0F273C41">
      <w:pPr>
        <w:spacing w:line="400" w:lineRule="exact"/>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附件：1.工学门类专业毕业要求</w:t>
      </w:r>
      <w:bookmarkStart w:id="3" w:name="_GoBack"/>
      <w:bookmarkEnd w:id="3"/>
    </w:p>
    <w:p w14:paraId="7C4A557A">
      <w:pPr>
        <w:spacing w:line="400" w:lineRule="exact"/>
        <w:ind w:firstLine="420" w:firstLineChars="200"/>
        <w:rPr>
          <w:rFonts w:hint="default" w:ascii="宋体" w:hAnsi="宋体"/>
          <w:color w:val="000000"/>
          <w:szCs w:val="21"/>
          <w:lang w:val="en-US" w:eastAsia="zh-CN"/>
        </w:rPr>
      </w:pPr>
      <w:r>
        <w:rPr>
          <w:rFonts w:hint="eastAsia" w:ascii="宋体" w:hAnsi="宋体"/>
          <w:color w:val="000000"/>
          <w:szCs w:val="21"/>
          <w:lang w:val="en-US" w:eastAsia="zh-CN"/>
        </w:rPr>
        <w:t xml:space="preserve">      2.农学门类专业毕业要求</w:t>
      </w:r>
    </w:p>
    <w:p w14:paraId="144D052D">
      <w:pPr>
        <w:spacing w:line="400" w:lineRule="exact"/>
        <w:ind w:firstLine="1050" w:firstLineChars="500"/>
        <w:rPr>
          <w:rFonts w:hint="default" w:ascii="宋体" w:hAnsi="宋体"/>
          <w:color w:val="000000"/>
          <w:szCs w:val="21"/>
          <w:lang w:val="en-US" w:eastAsia="zh-CN"/>
        </w:rPr>
      </w:pPr>
      <w:r>
        <w:rPr>
          <w:rFonts w:hint="eastAsia" w:ascii="宋体" w:hAnsi="宋体"/>
          <w:color w:val="000000"/>
          <w:szCs w:val="21"/>
          <w:lang w:val="en-US" w:eastAsia="zh-CN"/>
        </w:rPr>
        <w:t>3.参考示例</w:t>
      </w:r>
    </w:p>
    <w:p w14:paraId="4C9910C2">
      <w:pPr>
        <w:spacing w:line="400" w:lineRule="exact"/>
        <w:ind w:firstLine="420" w:firstLineChars="200"/>
        <w:rPr>
          <w:rFonts w:hint="eastAsia" w:ascii="宋体" w:hAnsi="宋体"/>
          <w:color w:val="000000"/>
          <w:szCs w:val="21"/>
          <w:lang w:val="en-US" w:eastAsia="zh-CN"/>
        </w:rPr>
      </w:pPr>
    </w:p>
    <w:p w14:paraId="50CF27E9">
      <w:pPr>
        <w:spacing w:line="400" w:lineRule="exact"/>
        <w:rPr>
          <w:rFonts w:hint="eastAsia" w:ascii="宋体" w:hAnsi="宋体"/>
          <w:color w:val="000000"/>
          <w:szCs w:val="21"/>
          <w:lang w:val="en-US" w:eastAsia="zh-CN"/>
        </w:rPr>
      </w:pPr>
    </w:p>
    <w:p w14:paraId="3789D103">
      <w:pPr>
        <w:spacing w:line="400" w:lineRule="exact"/>
        <w:rPr>
          <w:rFonts w:hint="default" w:ascii="宋体" w:hAnsi="宋体"/>
          <w:color w:val="000000"/>
          <w:szCs w:val="21"/>
          <w:lang w:val="en-US" w:eastAsia="zh-CN"/>
        </w:rPr>
      </w:pPr>
      <w:r>
        <w:rPr>
          <w:rFonts w:hint="eastAsia" w:ascii="宋体" w:hAnsi="宋体"/>
          <w:color w:val="000000"/>
          <w:szCs w:val="21"/>
          <w:lang w:val="en-US" w:eastAsia="zh-CN"/>
        </w:rPr>
        <w:t>附件1</w:t>
      </w:r>
    </w:p>
    <w:p w14:paraId="386A6EE7">
      <w:pPr>
        <w:spacing w:line="400" w:lineRule="exact"/>
        <w:jc w:val="center"/>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工学门类专业毕业要求</w:t>
      </w:r>
    </w:p>
    <w:p w14:paraId="5491531D">
      <w:pPr>
        <w:spacing w:line="400" w:lineRule="exact"/>
        <w:jc w:val="center"/>
        <w:rPr>
          <w:rFonts w:hint="default"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(通用标准）</w:t>
      </w:r>
    </w:p>
    <w:p w14:paraId="74E39574">
      <w:pPr>
        <w:spacing w:line="400" w:lineRule="exact"/>
        <w:ind w:firstLine="420" w:firstLineChars="200"/>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 xml:space="preserve">1.工程知识。能够将数学、自然科学、计算、工程基础和专业知识用于解决复杂工程问题。 </w:t>
      </w:r>
    </w:p>
    <w:p w14:paraId="35BB79A3">
      <w:pPr>
        <w:spacing w:line="400" w:lineRule="exact"/>
        <w:ind w:firstLine="420" w:firstLineChars="200"/>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2.</w:t>
      </w:r>
      <w:r>
        <w:rPr>
          <w:rFonts w:hint="default" w:ascii="宋体" w:hAnsi="宋体" w:cs="Times New Roman"/>
          <w:color w:val="000000"/>
          <w:szCs w:val="21"/>
          <w:lang w:val="en-US" w:eastAsia="zh-CN"/>
        </w:rPr>
        <w:t xml:space="preserve"> </w:t>
      </w:r>
      <w:r>
        <w:rPr>
          <w:rFonts w:hint="eastAsia" w:ascii="宋体" w:hAnsi="宋体" w:cs="Times New Roman"/>
          <w:color w:val="000000"/>
          <w:szCs w:val="21"/>
          <w:lang w:val="en-US" w:eastAsia="zh-CN"/>
        </w:rPr>
        <w:t xml:space="preserve">问题分析。能够应用数学、自然科学和工程科学的基本原理，识别、表达并通过文献研究分析复杂工程问题，综合考虑可持续发展的要求，以获得有效结论。 </w:t>
      </w:r>
    </w:p>
    <w:p w14:paraId="77A627B9">
      <w:pPr>
        <w:spacing w:line="400" w:lineRule="exact"/>
        <w:ind w:firstLine="420" w:firstLineChars="200"/>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3.设计</w:t>
      </w:r>
      <w:r>
        <w:rPr>
          <w:rFonts w:hint="default" w:ascii="宋体" w:hAnsi="宋体" w:cs="Times New Roman"/>
          <w:color w:val="000000"/>
          <w:szCs w:val="21"/>
          <w:lang w:val="en-US" w:eastAsia="zh-CN"/>
        </w:rPr>
        <w:t>/</w:t>
      </w:r>
      <w:r>
        <w:rPr>
          <w:rFonts w:hint="eastAsia" w:ascii="宋体" w:hAnsi="宋体" w:cs="Times New Roman"/>
          <w:color w:val="000000"/>
          <w:szCs w:val="21"/>
          <w:lang w:val="en-US" w:eastAsia="zh-CN"/>
        </w:rPr>
        <w:t xml:space="preserve">开发解决方案。能够针对复杂工程问题设计和开发解决方案，设计满足特定需求的系统、单元（部件）或工艺流程，体现创新性，并从健康、安全与环境、全生命周期成本与净零碳要求、法律与伦理、社会与文化等角度考虑可行性。 </w:t>
      </w:r>
    </w:p>
    <w:p w14:paraId="4F9FE318">
      <w:pPr>
        <w:spacing w:line="400" w:lineRule="exact"/>
        <w:ind w:firstLine="420" w:firstLineChars="200"/>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4.</w:t>
      </w:r>
      <w:r>
        <w:rPr>
          <w:rFonts w:hint="default" w:ascii="宋体" w:hAnsi="宋体" w:cs="Times New Roman"/>
          <w:color w:val="000000"/>
          <w:szCs w:val="21"/>
          <w:lang w:val="en-US" w:eastAsia="zh-CN"/>
        </w:rPr>
        <w:t xml:space="preserve"> </w:t>
      </w:r>
      <w:r>
        <w:rPr>
          <w:rFonts w:hint="eastAsia" w:ascii="宋体" w:hAnsi="宋体" w:cs="Times New Roman"/>
          <w:color w:val="000000"/>
          <w:szCs w:val="21"/>
          <w:lang w:val="en-US" w:eastAsia="zh-CN"/>
        </w:rPr>
        <w:t xml:space="preserve">研究。能够基于科学原理并采用科学方法对复杂工程问题进行研究，包括设计实验、分析与解释数据、并通过信息综合得到合理有效的结论。 </w:t>
      </w:r>
    </w:p>
    <w:p w14:paraId="7DCA7E7E">
      <w:pPr>
        <w:spacing w:line="400" w:lineRule="exact"/>
        <w:ind w:firstLine="420" w:firstLineChars="200"/>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 xml:space="preserve">5.使用现代工具。能够针对复杂工程问题，开发、选择与使用恰当的技术、资源、现代工程工具和信息技术工具，包括对复杂工程问题的预测与模拟，并能够理解其局限性。 </w:t>
      </w:r>
    </w:p>
    <w:p w14:paraId="435CE9FC">
      <w:pPr>
        <w:spacing w:line="400" w:lineRule="exact"/>
        <w:ind w:firstLine="420" w:firstLineChars="200"/>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 xml:space="preserve">6.工程与可持续发展。在解决复杂工程问题时，能够基于工程相关背景知识，分析和评价工程实践对健康、安全、环境、法律以及经济和社会可持续发展的影响，并理解应承担的责任。 </w:t>
      </w:r>
    </w:p>
    <w:p w14:paraId="66481853">
      <w:pPr>
        <w:spacing w:line="400" w:lineRule="exact"/>
        <w:ind w:firstLine="420" w:firstLineChars="200"/>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7.</w:t>
      </w:r>
      <w:r>
        <w:rPr>
          <w:rFonts w:hint="default" w:ascii="宋体" w:hAnsi="宋体" w:cs="Times New Roman"/>
          <w:color w:val="000000"/>
          <w:szCs w:val="21"/>
          <w:lang w:val="en-US" w:eastAsia="zh-CN"/>
        </w:rPr>
        <w:t xml:space="preserve"> </w:t>
      </w:r>
      <w:r>
        <w:rPr>
          <w:rFonts w:hint="eastAsia" w:ascii="宋体" w:hAnsi="宋体" w:cs="Times New Roman"/>
          <w:color w:val="000000"/>
          <w:szCs w:val="21"/>
          <w:lang w:val="en-US" w:eastAsia="zh-CN"/>
        </w:rPr>
        <w:t xml:space="preserve">工程伦理和职业规范。有工程报国、为民造福的意识，具有人文社会科学素养和社会责任感，能够理解和践行工程伦理，在工程实践中遵守工程职业道德、规范和相关法律，履行责任。 </w:t>
      </w:r>
    </w:p>
    <w:p w14:paraId="5F2615D1">
      <w:pPr>
        <w:spacing w:line="400" w:lineRule="exact"/>
        <w:ind w:firstLine="420" w:firstLineChars="200"/>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8.</w:t>
      </w:r>
      <w:r>
        <w:rPr>
          <w:rFonts w:hint="default" w:ascii="宋体" w:hAnsi="宋体" w:cs="Times New Roman"/>
          <w:color w:val="000000"/>
          <w:szCs w:val="21"/>
          <w:lang w:val="en-US" w:eastAsia="zh-CN"/>
        </w:rPr>
        <w:t xml:space="preserve"> </w:t>
      </w:r>
      <w:r>
        <w:rPr>
          <w:rFonts w:hint="eastAsia" w:ascii="宋体" w:hAnsi="宋体" w:cs="Times New Roman"/>
          <w:color w:val="000000"/>
          <w:szCs w:val="21"/>
          <w:lang w:val="en-US" w:eastAsia="zh-CN"/>
        </w:rPr>
        <w:t xml:space="preserve">个人与团队。能够在多样化、多学科背景下的团队中承担个体、团队成员以及负责人的角色。 </w:t>
      </w:r>
    </w:p>
    <w:p w14:paraId="5517608F">
      <w:pPr>
        <w:spacing w:line="400" w:lineRule="exact"/>
        <w:ind w:firstLine="420" w:firstLineChars="200"/>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 xml:space="preserve">9.沟通。能够就复杂工程问题与业界同行及社会公众进行有效沟通和交流，包括撰写报告和设计文稿、陈述发言、清晰表达或回应指令；能够在跨文化背景下进行沟通和交流，理解、尊重语言和文化差异。 </w:t>
      </w:r>
    </w:p>
    <w:p w14:paraId="5D5F764F">
      <w:pPr>
        <w:spacing w:line="400" w:lineRule="exact"/>
        <w:ind w:firstLine="420" w:firstLineChars="200"/>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 xml:space="preserve">10.项目管理。理解并掌握与工程项目相关的管理原理与经济决策方法，并能够在多学科环境中应用。 </w:t>
      </w:r>
    </w:p>
    <w:p w14:paraId="3395FE70">
      <w:pPr>
        <w:spacing w:line="400" w:lineRule="exact"/>
        <w:ind w:firstLine="420" w:firstLineChars="200"/>
        <w:rPr>
          <w:rFonts w:hint="eastAsia" w:ascii="宋体" w:hAnsi="宋体" w:cs="Times New Roman"/>
          <w:color w:val="000000"/>
          <w:szCs w:val="21"/>
          <w:lang w:val="en-US" w:eastAsia="zh-CN"/>
        </w:rPr>
      </w:pPr>
      <w:r>
        <w:rPr>
          <w:rFonts w:hint="default" w:ascii="宋体" w:hAnsi="宋体" w:cs="Times New Roman"/>
          <w:color w:val="000000"/>
          <w:szCs w:val="21"/>
          <w:lang w:val="en-US" w:eastAsia="zh-CN"/>
        </w:rPr>
        <w:t>11</w:t>
      </w:r>
      <w:r>
        <w:rPr>
          <w:rFonts w:hint="eastAsia" w:ascii="宋体" w:hAnsi="宋体" w:cs="Times New Roman"/>
          <w:color w:val="000000"/>
          <w:szCs w:val="21"/>
          <w:lang w:val="en-US" w:eastAsia="zh-CN"/>
        </w:rPr>
        <w:t>.</w:t>
      </w:r>
      <w:r>
        <w:rPr>
          <w:rFonts w:hint="default" w:ascii="宋体" w:hAnsi="宋体" w:cs="Times New Roman"/>
          <w:color w:val="000000"/>
          <w:szCs w:val="21"/>
          <w:lang w:val="en-US" w:eastAsia="zh-CN"/>
        </w:rPr>
        <w:t xml:space="preserve"> </w:t>
      </w:r>
      <w:r>
        <w:rPr>
          <w:rFonts w:hint="eastAsia" w:ascii="宋体" w:hAnsi="宋体" w:cs="Times New Roman"/>
          <w:color w:val="000000"/>
          <w:szCs w:val="21"/>
          <w:lang w:val="en-US" w:eastAsia="zh-CN"/>
        </w:rPr>
        <w:t>终身学习。具有自主学习、终身学习和批判性思维的意识和能力，能够理解广泛的技术变革对工程和社会的影响，适应新技术变革。</w:t>
      </w:r>
    </w:p>
    <w:p w14:paraId="24E582EB">
      <w:pPr>
        <w:spacing w:line="400" w:lineRule="exact"/>
        <w:ind w:firstLine="422" w:firstLineChars="200"/>
        <w:rPr>
          <w:rFonts w:hint="eastAsia" w:ascii="宋体" w:hAnsi="宋体" w:cs="Times New Roman"/>
          <w:b/>
          <w:bCs/>
          <w:color w:val="000000"/>
          <w:szCs w:val="21"/>
          <w:lang w:val="en-US" w:eastAsia="zh-CN"/>
        </w:rPr>
      </w:pPr>
    </w:p>
    <w:p w14:paraId="2FDC5DAC">
      <w:pPr>
        <w:spacing w:line="400" w:lineRule="exact"/>
        <w:ind w:firstLine="422" w:firstLineChars="200"/>
        <w:rPr>
          <w:rFonts w:hint="eastAsia" w:ascii="宋体" w:hAnsi="宋体" w:cs="Times New Roman"/>
          <w:b/>
          <w:bCs/>
          <w:color w:val="000000"/>
          <w:szCs w:val="21"/>
          <w:lang w:val="en-US" w:eastAsia="zh-CN"/>
        </w:rPr>
      </w:pPr>
      <w:r>
        <w:rPr>
          <w:rFonts w:hint="eastAsia" w:ascii="宋体" w:hAnsi="宋体" w:cs="Times New Roman"/>
          <w:b/>
          <w:bCs/>
          <w:color w:val="000000"/>
          <w:szCs w:val="21"/>
          <w:lang w:val="en-US" w:eastAsia="zh-CN"/>
        </w:rPr>
        <w:t>（注：工科类专业培养目标及毕业要求详见《工程教育认证标准（</w:t>
      </w:r>
      <w:r>
        <w:rPr>
          <w:rFonts w:hint="default" w:ascii="宋体" w:hAnsi="宋体" w:cs="Times New Roman"/>
          <w:b/>
          <w:bCs/>
          <w:color w:val="000000"/>
          <w:szCs w:val="21"/>
          <w:lang w:val="en-US" w:eastAsia="zh-CN"/>
        </w:rPr>
        <w:t xml:space="preserve">2024 </w:t>
      </w:r>
      <w:r>
        <w:rPr>
          <w:rFonts w:hint="eastAsia" w:ascii="宋体" w:hAnsi="宋体" w:cs="Times New Roman"/>
          <w:b/>
          <w:bCs/>
          <w:color w:val="000000"/>
          <w:szCs w:val="21"/>
          <w:lang w:val="en-US" w:eastAsia="zh-CN"/>
        </w:rPr>
        <w:t>版）》）</w:t>
      </w:r>
    </w:p>
    <w:p w14:paraId="4B8BEA69">
      <w:pPr>
        <w:spacing w:line="400" w:lineRule="exact"/>
        <w:ind w:firstLine="420" w:firstLineChars="200"/>
        <w:rPr>
          <w:rFonts w:hint="eastAsia" w:ascii="宋体" w:hAnsi="宋体" w:cs="Times New Roman"/>
          <w:color w:val="000000"/>
          <w:szCs w:val="21"/>
          <w:lang w:val="en-US" w:eastAsia="zh-CN"/>
        </w:rPr>
      </w:pPr>
    </w:p>
    <w:p w14:paraId="57606F4B">
      <w:pPr>
        <w:rPr>
          <w:rFonts w:hint="eastAsia" w:ascii="宋体" w:hAnsi="宋体"/>
          <w:color w:val="000000"/>
          <w:szCs w:val="21"/>
          <w:lang w:val="en-US" w:eastAsia="zh-CN"/>
        </w:rPr>
      </w:pPr>
      <w:r>
        <w:rPr>
          <w:rFonts w:hint="eastAsia" w:ascii="宋体" w:hAnsi="宋体"/>
          <w:color w:val="000000"/>
          <w:szCs w:val="21"/>
          <w:lang w:val="en-US" w:eastAsia="zh-CN"/>
        </w:rPr>
        <w:br w:type="page"/>
      </w:r>
    </w:p>
    <w:p w14:paraId="2F9F802C">
      <w:pPr>
        <w:spacing w:line="400" w:lineRule="exact"/>
        <w:rPr>
          <w:rFonts w:hint="default" w:ascii="宋体" w:hAnsi="宋体"/>
          <w:color w:val="000000"/>
          <w:szCs w:val="21"/>
          <w:lang w:val="en-US" w:eastAsia="zh-CN"/>
        </w:rPr>
      </w:pPr>
      <w:r>
        <w:rPr>
          <w:rFonts w:hint="eastAsia" w:ascii="宋体" w:hAnsi="宋体"/>
          <w:color w:val="000000"/>
          <w:szCs w:val="21"/>
          <w:lang w:val="en-US" w:eastAsia="zh-CN"/>
        </w:rPr>
        <w:t>附件2</w:t>
      </w:r>
    </w:p>
    <w:p w14:paraId="7EF9A117">
      <w:pPr>
        <w:spacing w:line="400" w:lineRule="exact"/>
        <w:jc w:val="cente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农学门类专业毕业要求</w:t>
      </w:r>
    </w:p>
    <w:p w14:paraId="053AE063">
      <w:pPr>
        <w:spacing w:line="400" w:lineRule="exact"/>
        <w:jc w:val="center"/>
        <w:rPr>
          <w:rFonts w:hint="default"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(通用标准）</w:t>
      </w:r>
    </w:p>
    <w:p w14:paraId="64667C7C">
      <w:pPr>
        <w:spacing w:line="400" w:lineRule="exact"/>
        <w:ind w:firstLine="420" w:firstLineChars="200"/>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w:t>
      </w:r>
      <w:r>
        <w:rPr>
          <w:rFonts w:hint="default" w:ascii="宋体" w:hAnsi="宋体" w:cs="Times New Roman"/>
          <w:color w:val="000000"/>
          <w:szCs w:val="21"/>
          <w:lang w:val="en-US" w:eastAsia="zh-CN"/>
        </w:rPr>
        <w:t>理想信念</w:t>
      </w:r>
      <w:r>
        <w:rPr>
          <w:rFonts w:hint="eastAsia" w:ascii="宋体" w:hAnsi="宋体" w:cs="Times New Roman"/>
          <w:color w:val="000000"/>
          <w:szCs w:val="21"/>
          <w:lang w:val="en-US" w:eastAsia="zh-CN"/>
        </w:rPr>
        <w:t>。</w:t>
      </w:r>
      <w:r>
        <w:rPr>
          <w:rFonts w:hint="default" w:ascii="宋体" w:hAnsi="宋体" w:cs="Times New Roman"/>
          <w:color w:val="000000"/>
          <w:szCs w:val="21"/>
          <w:lang w:val="en-US" w:eastAsia="zh-CN"/>
        </w:rPr>
        <w:t xml:space="preserve">具有坚定正确的政治方向、良好的思想品德和健全的人格，拥护中国共产党的领导；具有国家意识、法治意识和社会责任意识，树立正确的世界观、价值观、人生观，自觉践行社会主义核心价值观。 </w:t>
      </w:r>
    </w:p>
    <w:p w14:paraId="24CCA6AD">
      <w:pPr>
        <w:spacing w:line="400" w:lineRule="exact"/>
        <w:ind w:firstLine="420" w:firstLineChars="200"/>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2.</w:t>
      </w:r>
      <w:r>
        <w:rPr>
          <w:rFonts w:hint="default" w:ascii="宋体" w:hAnsi="宋体" w:cs="Times New Roman"/>
          <w:color w:val="000000"/>
          <w:szCs w:val="21"/>
          <w:lang w:val="en-US" w:eastAsia="zh-CN"/>
        </w:rPr>
        <w:t>三农情怀</w:t>
      </w:r>
      <w:r>
        <w:rPr>
          <w:rFonts w:hint="eastAsia" w:ascii="宋体" w:hAnsi="宋体" w:cs="Times New Roman"/>
          <w:color w:val="000000"/>
          <w:szCs w:val="21"/>
          <w:lang w:val="en-US" w:eastAsia="zh-CN"/>
        </w:rPr>
        <w:t>。</w:t>
      </w:r>
      <w:r>
        <w:rPr>
          <w:rFonts w:hint="default" w:ascii="宋体" w:hAnsi="宋体" w:cs="Times New Roman"/>
          <w:color w:val="000000"/>
          <w:szCs w:val="21"/>
          <w:lang w:val="en-US" w:eastAsia="zh-CN"/>
        </w:rPr>
        <w:t xml:space="preserve">充分理解中华农耕文明和乡村文化蕴含的优秀思想，具有学农知农、爱农为农的素养与情怀，树立和践行“绿水青山就是金山银山”的生态文明与可持续发展理念。 </w:t>
      </w:r>
    </w:p>
    <w:p w14:paraId="1308F0DB">
      <w:pPr>
        <w:spacing w:line="400" w:lineRule="exact"/>
        <w:ind w:firstLine="420" w:firstLineChars="200"/>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3.</w:t>
      </w:r>
      <w:r>
        <w:rPr>
          <w:rFonts w:hint="default" w:ascii="宋体" w:hAnsi="宋体" w:cs="Times New Roman"/>
          <w:color w:val="000000"/>
          <w:szCs w:val="21"/>
          <w:lang w:val="en-US" w:eastAsia="zh-CN"/>
        </w:rPr>
        <w:t>人文素养</w:t>
      </w:r>
      <w:r>
        <w:rPr>
          <w:rFonts w:hint="eastAsia" w:ascii="宋体" w:hAnsi="宋体" w:cs="Times New Roman"/>
          <w:color w:val="000000"/>
          <w:szCs w:val="21"/>
          <w:lang w:val="en-US" w:eastAsia="zh-CN"/>
        </w:rPr>
        <w:t>。</w:t>
      </w:r>
      <w:r>
        <w:rPr>
          <w:rFonts w:hint="default" w:ascii="宋体" w:hAnsi="宋体" w:cs="Times New Roman"/>
          <w:color w:val="000000"/>
          <w:szCs w:val="21"/>
          <w:lang w:val="en-US" w:eastAsia="zh-CN"/>
        </w:rPr>
        <w:t xml:space="preserve">掌握一定的政治、经济、哲学、文学、历史、艺术等人文社科知识，继承和发扬中华民族优秀传统文化，具有良好的人文素质。 </w:t>
      </w:r>
    </w:p>
    <w:p w14:paraId="48190F20">
      <w:pPr>
        <w:spacing w:line="400" w:lineRule="exact"/>
        <w:ind w:firstLine="420" w:firstLineChars="200"/>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4.</w:t>
      </w:r>
      <w:r>
        <w:rPr>
          <w:rFonts w:hint="default" w:ascii="宋体" w:hAnsi="宋体" w:cs="Times New Roman"/>
          <w:color w:val="000000"/>
          <w:szCs w:val="21"/>
          <w:lang w:val="en-US" w:eastAsia="zh-CN"/>
        </w:rPr>
        <w:t>理学素养</w:t>
      </w:r>
      <w:r>
        <w:rPr>
          <w:rFonts w:hint="eastAsia" w:ascii="宋体" w:hAnsi="宋体" w:cs="Times New Roman"/>
          <w:color w:val="000000"/>
          <w:szCs w:val="21"/>
          <w:lang w:val="en-US" w:eastAsia="zh-CN"/>
        </w:rPr>
        <w:t>。</w:t>
      </w:r>
      <w:r>
        <w:rPr>
          <w:rFonts w:hint="default" w:ascii="宋体" w:hAnsi="宋体" w:cs="Times New Roman"/>
          <w:color w:val="000000"/>
          <w:szCs w:val="21"/>
          <w:lang w:val="en-US" w:eastAsia="zh-CN"/>
        </w:rPr>
        <w:t xml:space="preserve">具备扎实的理学基础理论知识和科学思维能力，能运用数学、物理、化学、生物学等领域的理论知识对科学、工程、技术等领域有关问题进行分析判断。 </w:t>
      </w:r>
    </w:p>
    <w:p w14:paraId="46AE7251">
      <w:pPr>
        <w:spacing w:line="400" w:lineRule="exact"/>
        <w:ind w:firstLine="420" w:firstLineChars="200"/>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5.</w:t>
      </w:r>
      <w:r>
        <w:rPr>
          <w:rFonts w:hint="default" w:ascii="宋体" w:hAnsi="宋体" w:cs="Times New Roman"/>
          <w:color w:val="000000"/>
          <w:szCs w:val="21"/>
          <w:lang w:val="en-US" w:eastAsia="zh-CN"/>
        </w:rPr>
        <w:t>专业综合</w:t>
      </w:r>
      <w:r>
        <w:rPr>
          <w:rFonts w:hint="eastAsia" w:ascii="宋体" w:hAnsi="宋体" w:cs="Times New Roman"/>
          <w:color w:val="000000"/>
          <w:szCs w:val="21"/>
          <w:lang w:val="en-US" w:eastAsia="zh-CN"/>
        </w:rPr>
        <w:t>。</w:t>
      </w:r>
      <w:r>
        <w:rPr>
          <w:rFonts w:hint="default" w:ascii="宋体" w:hAnsi="宋体" w:cs="Times New Roman"/>
          <w:color w:val="000000"/>
          <w:szCs w:val="21"/>
          <w:lang w:val="en-US" w:eastAsia="zh-CN"/>
        </w:rPr>
        <w:t xml:space="preserve">了解农林相关行业发展状况和趋势，能够运用所学专业理论和方法、信息技术、生物技术、工程技术、经营管理知识等对农林及相关领域的复杂问题进行系统分析和研究，提出相应的对策和建议，或形成解决方案。 </w:t>
      </w:r>
    </w:p>
    <w:p w14:paraId="28F24452">
      <w:pPr>
        <w:spacing w:line="400" w:lineRule="exact"/>
        <w:ind w:firstLine="420" w:firstLineChars="200"/>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6.</w:t>
      </w:r>
      <w:r>
        <w:rPr>
          <w:rFonts w:hint="default" w:ascii="宋体" w:hAnsi="宋体" w:cs="Times New Roman"/>
          <w:color w:val="000000"/>
          <w:szCs w:val="21"/>
          <w:lang w:val="en-US" w:eastAsia="zh-CN"/>
        </w:rPr>
        <w:t>审辨思维</w:t>
      </w:r>
      <w:r>
        <w:rPr>
          <w:rFonts w:hint="eastAsia" w:ascii="宋体" w:hAnsi="宋体" w:cs="Times New Roman"/>
          <w:color w:val="000000"/>
          <w:szCs w:val="21"/>
          <w:lang w:val="en-US" w:eastAsia="zh-CN"/>
        </w:rPr>
        <w:t>。</w:t>
      </w:r>
      <w:r>
        <w:rPr>
          <w:rFonts w:hint="default" w:ascii="宋体" w:hAnsi="宋体" w:cs="Times New Roman"/>
          <w:color w:val="000000"/>
          <w:szCs w:val="21"/>
          <w:lang w:val="en-US" w:eastAsia="zh-CN"/>
        </w:rPr>
        <w:t>具备求真务实的科学精神，能够从多视角发现、辨析、质疑、评价本专业及相关领域的现象和问题，提出见解或应对措施。</w:t>
      </w:r>
    </w:p>
    <w:p w14:paraId="29723ADE">
      <w:pPr>
        <w:spacing w:line="400" w:lineRule="exact"/>
        <w:ind w:firstLine="420" w:firstLineChars="200"/>
        <w:rPr>
          <w:rFonts w:hint="default" w:ascii="宋体" w:hAnsi="宋体" w:cs="Times New Roman"/>
          <w:color w:val="000000"/>
          <w:szCs w:val="21"/>
          <w:lang w:val="en-US" w:eastAsia="zh-CN"/>
        </w:rPr>
      </w:pPr>
      <w:r>
        <w:rPr>
          <w:rFonts w:hint="default" w:ascii="宋体" w:hAnsi="宋体" w:cs="Times New Roman"/>
          <w:color w:val="000000"/>
          <w:szCs w:val="21"/>
          <w:lang w:val="en-US" w:eastAsia="zh-CN"/>
        </w:rPr>
        <w:t>7</w:t>
      </w:r>
      <w:r>
        <w:rPr>
          <w:rFonts w:hint="eastAsia" w:ascii="宋体" w:hAnsi="宋体" w:cs="Times New Roman"/>
          <w:color w:val="000000"/>
          <w:szCs w:val="21"/>
          <w:lang w:val="en-US" w:eastAsia="zh-CN"/>
        </w:rPr>
        <w:t>.</w:t>
      </w:r>
      <w:r>
        <w:rPr>
          <w:rFonts w:hint="default" w:ascii="宋体" w:hAnsi="宋体" w:cs="Times New Roman"/>
          <w:color w:val="000000"/>
          <w:szCs w:val="21"/>
          <w:lang w:val="en-US" w:eastAsia="zh-CN"/>
        </w:rPr>
        <w:t>创新创业</w:t>
      </w:r>
      <w:r>
        <w:rPr>
          <w:rFonts w:hint="eastAsia" w:ascii="宋体" w:hAnsi="宋体" w:cs="Times New Roman"/>
          <w:color w:val="000000"/>
          <w:szCs w:val="21"/>
          <w:lang w:val="en-US" w:eastAsia="zh-CN"/>
        </w:rPr>
        <w:t>。</w:t>
      </w:r>
      <w:r>
        <w:rPr>
          <w:rFonts w:hint="default" w:ascii="宋体" w:hAnsi="宋体" w:cs="Times New Roman"/>
          <w:color w:val="000000"/>
          <w:szCs w:val="21"/>
          <w:lang w:val="en-US" w:eastAsia="zh-CN"/>
        </w:rPr>
        <w:t xml:space="preserve">具有创新创业意识，能够将创新思维、创新能力和创业精神付诸实践。 </w:t>
      </w:r>
    </w:p>
    <w:p w14:paraId="568B68E6">
      <w:pPr>
        <w:spacing w:line="400" w:lineRule="exact"/>
        <w:ind w:firstLine="420" w:firstLineChars="200"/>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8.</w:t>
      </w:r>
      <w:r>
        <w:rPr>
          <w:rFonts w:hint="default" w:ascii="宋体" w:hAnsi="宋体" w:cs="Times New Roman"/>
          <w:color w:val="000000"/>
          <w:szCs w:val="21"/>
          <w:lang w:val="en-US" w:eastAsia="zh-CN"/>
        </w:rPr>
        <w:t>交流协作</w:t>
      </w:r>
      <w:r>
        <w:rPr>
          <w:rFonts w:hint="eastAsia" w:ascii="宋体" w:hAnsi="宋体" w:cs="Times New Roman"/>
          <w:color w:val="000000"/>
          <w:szCs w:val="21"/>
          <w:lang w:val="en-US" w:eastAsia="zh-CN"/>
        </w:rPr>
        <w:t>。</w:t>
      </w:r>
      <w:r>
        <w:rPr>
          <w:rFonts w:hint="default" w:ascii="宋体" w:hAnsi="宋体" w:cs="Times New Roman"/>
          <w:color w:val="000000"/>
          <w:szCs w:val="21"/>
          <w:lang w:val="en-US" w:eastAsia="zh-CN"/>
        </w:rPr>
        <w:t xml:space="preserve">具有较强的沟通表达能力，能够通过口头和书面表达、现代化媒体技术等表达方式与同行及社会公众进行有效沟通。具有团队协作精神，并作为成员或领导者在团队活动中发挥积极作用。 </w:t>
      </w:r>
    </w:p>
    <w:p w14:paraId="4AA6A889">
      <w:pPr>
        <w:spacing w:line="400" w:lineRule="exact"/>
        <w:ind w:firstLine="420" w:firstLineChars="200"/>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9.</w:t>
      </w:r>
      <w:r>
        <w:rPr>
          <w:rFonts w:hint="default" w:ascii="宋体" w:hAnsi="宋体" w:cs="Times New Roman"/>
          <w:color w:val="000000"/>
          <w:szCs w:val="21"/>
          <w:lang w:val="en-US" w:eastAsia="zh-CN"/>
        </w:rPr>
        <w:t>全球视野</w:t>
      </w:r>
      <w:r>
        <w:rPr>
          <w:rFonts w:hint="eastAsia" w:ascii="宋体" w:hAnsi="宋体" w:cs="Times New Roman"/>
          <w:color w:val="000000"/>
          <w:szCs w:val="21"/>
          <w:lang w:val="en-US" w:eastAsia="zh-CN"/>
        </w:rPr>
        <w:t>。</w:t>
      </w:r>
      <w:r>
        <w:rPr>
          <w:rFonts w:hint="default" w:ascii="宋体" w:hAnsi="宋体" w:cs="Times New Roman"/>
          <w:color w:val="000000"/>
          <w:szCs w:val="21"/>
          <w:lang w:val="en-US" w:eastAsia="zh-CN"/>
        </w:rPr>
        <w:t xml:space="preserve">具有全球视野，关注食物安全、营养与人类健康、生态与环境、可持续发展等重大国际发展问题，能够理解和尊重世界不同文化的多样性和差异性，具备跨文化背景的交流与合作能力。 </w:t>
      </w:r>
    </w:p>
    <w:p w14:paraId="03CC159B">
      <w:pPr>
        <w:spacing w:line="400" w:lineRule="exact"/>
        <w:ind w:firstLine="420" w:firstLineChars="200"/>
        <w:rPr>
          <w:rFonts w:hint="default" w:ascii="宋体" w:hAnsi="宋体" w:cs="Times New Roman"/>
          <w:color w:val="000000"/>
          <w:szCs w:val="21"/>
          <w:lang w:val="en-US" w:eastAsia="zh-CN"/>
        </w:rPr>
      </w:pPr>
      <w:r>
        <w:rPr>
          <w:rFonts w:hint="default" w:ascii="宋体" w:hAnsi="宋体" w:cs="Times New Roman"/>
          <w:color w:val="000000"/>
          <w:szCs w:val="21"/>
          <w:lang w:val="en-US" w:eastAsia="zh-CN"/>
        </w:rPr>
        <w:t>10</w:t>
      </w:r>
      <w:r>
        <w:rPr>
          <w:rFonts w:hint="eastAsia" w:ascii="宋体" w:hAnsi="宋体" w:cs="Times New Roman"/>
          <w:color w:val="000000"/>
          <w:szCs w:val="21"/>
          <w:lang w:val="en-US" w:eastAsia="zh-CN"/>
        </w:rPr>
        <w:t>.</w:t>
      </w:r>
      <w:r>
        <w:rPr>
          <w:rFonts w:hint="default" w:ascii="宋体" w:hAnsi="宋体" w:cs="Times New Roman"/>
          <w:color w:val="000000"/>
          <w:szCs w:val="21"/>
          <w:lang w:val="en-US" w:eastAsia="zh-CN"/>
        </w:rPr>
        <w:t>学习发展</w:t>
      </w:r>
      <w:r>
        <w:rPr>
          <w:rFonts w:hint="eastAsia" w:ascii="宋体" w:hAnsi="宋体" w:cs="Times New Roman"/>
          <w:color w:val="000000"/>
          <w:szCs w:val="21"/>
          <w:lang w:val="en-US" w:eastAsia="zh-CN"/>
        </w:rPr>
        <w:t>。</w:t>
      </w:r>
      <w:r>
        <w:rPr>
          <w:rFonts w:hint="default" w:ascii="宋体" w:hAnsi="宋体" w:cs="Times New Roman"/>
          <w:color w:val="000000"/>
          <w:szCs w:val="21"/>
          <w:lang w:val="en-US" w:eastAsia="zh-CN"/>
        </w:rPr>
        <w:t>树立终身学习的理念，具有自我管理和自主学习能力，能够通过不断学习，适应社会需要，实现个人可持续发展。</w:t>
      </w:r>
    </w:p>
    <w:p w14:paraId="2F227121">
      <w:pPr>
        <w:spacing w:line="400" w:lineRule="exact"/>
        <w:ind w:firstLine="420" w:firstLineChars="200"/>
        <w:rPr>
          <w:rFonts w:hint="default" w:ascii="宋体" w:hAnsi="宋体" w:cs="Times New Roman"/>
          <w:color w:val="000000"/>
          <w:szCs w:val="21"/>
          <w:lang w:val="en-US" w:eastAsia="zh-CN"/>
        </w:rPr>
      </w:pPr>
    </w:p>
    <w:p w14:paraId="25094D5D">
      <w:pPr>
        <w:spacing w:line="400" w:lineRule="exact"/>
        <w:ind w:firstLine="420" w:firstLineChars="200"/>
        <w:rPr>
          <w:rFonts w:hint="eastAsia" w:ascii="黑体" w:hAnsi="黑体" w:eastAsia="黑体" w:cs="黑体"/>
          <w:color w:val="000000"/>
          <w:szCs w:val="21"/>
          <w:lang w:val="en-US" w:eastAsia="zh-CN"/>
        </w:rPr>
      </w:pPr>
      <w:r>
        <w:rPr>
          <w:rFonts w:hint="eastAsia" w:ascii="黑体" w:hAnsi="黑体" w:eastAsia="黑体" w:cs="黑体"/>
          <w:color w:val="000000"/>
          <w:szCs w:val="21"/>
          <w:lang w:val="en-US" w:eastAsia="zh-CN"/>
        </w:rPr>
        <w:t>（注：农学类专业培养目标及毕业要求详见《农学门类专业三级认证第三级认证标准》）</w:t>
      </w:r>
    </w:p>
    <w:p w14:paraId="258C0D7F">
      <w:pPr>
        <w:spacing w:line="400" w:lineRule="exact"/>
        <w:ind w:firstLine="420" w:firstLineChars="200"/>
        <w:rPr>
          <w:rFonts w:hint="default" w:ascii="宋体" w:hAnsi="宋体" w:cs="Times New Roman"/>
          <w:color w:val="000000"/>
          <w:szCs w:val="21"/>
          <w:lang w:val="en-US" w:eastAsia="zh-CN"/>
        </w:rPr>
      </w:pPr>
    </w:p>
    <w:p w14:paraId="37D5D56F">
      <w:pPr>
        <w:spacing w:line="400" w:lineRule="exact"/>
        <w:ind w:firstLine="420" w:firstLineChars="200"/>
        <w:rPr>
          <w:rFonts w:hint="default" w:ascii="宋体" w:hAnsi="宋体" w:cs="Times New Roman"/>
          <w:color w:val="000000"/>
          <w:szCs w:val="21"/>
          <w:lang w:val="en-US" w:eastAsia="zh-CN"/>
        </w:rPr>
      </w:pPr>
    </w:p>
    <w:p w14:paraId="722A3DAB">
      <w:pPr>
        <w:spacing w:line="400" w:lineRule="exact"/>
        <w:ind w:firstLine="420" w:firstLineChars="200"/>
        <w:rPr>
          <w:rFonts w:hint="default" w:ascii="宋体" w:hAnsi="宋体" w:cs="Times New Roman"/>
          <w:color w:val="000000"/>
          <w:szCs w:val="21"/>
          <w:lang w:val="en-US" w:eastAsia="zh-CN"/>
        </w:rPr>
      </w:pPr>
    </w:p>
    <w:p w14:paraId="328248CE">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宋体" w:eastAsia="仿宋_GB2312" w:cs="仿宋_GB2312"/>
          <w:color w:val="000000"/>
          <w:kern w:val="0"/>
          <w:sz w:val="32"/>
          <w:szCs w:val="32"/>
          <w:lang w:val="en-US" w:eastAsia="zh-CN" w:bidi="ar"/>
        </w:rPr>
      </w:pPr>
    </w:p>
    <w:p w14:paraId="52721245">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宋体" w:eastAsia="仿宋_GB2312" w:cs="仿宋_GB2312"/>
          <w:color w:val="000000"/>
          <w:kern w:val="0"/>
          <w:sz w:val="32"/>
          <w:szCs w:val="32"/>
          <w:lang w:val="en-US" w:eastAsia="zh-CN" w:bidi="ar"/>
        </w:rPr>
      </w:pPr>
    </w:p>
    <w:p w14:paraId="16139579">
      <w:pPr>
        <w:spacing w:line="400" w:lineRule="exact"/>
        <w:rPr>
          <w:rFonts w:hint="eastAsia" w:ascii="宋体" w:hAnsi="宋体" w:cs="Times New Roman"/>
          <w:color w:val="000000"/>
          <w:szCs w:val="21"/>
          <w:lang w:val="en-US" w:eastAsia="zh-CN"/>
        </w:rPr>
      </w:pPr>
    </w:p>
    <w:p w14:paraId="060CD141">
      <w:pPr>
        <w:spacing w:line="400" w:lineRule="exact"/>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附件</w:t>
      </w:r>
      <w:bookmarkStart w:id="0" w:name="_Toc9012"/>
      <w:r>
        <w:rPr>
          <w:rFonts w:hint="eastAsia" w:ascii="宋体" w:hAnsi="宋体" w:cs="Times New Roman"/>
          <w:color w:val="000000"/>
          <w:szCs w:val="21"/>
          <w:lang w:val="en-US" w:eastAsia="zh-CN"/>
        </w:rPr>
        <w:t>3</w:t>
      </w:r>
    </w:p>
    <w:p w14:paraId="1A89C06B">
      <w:pPr>
        <w:spacing w:line="400" w:lineRule="exact"/>
        <w:jc w:val="center"/>
        <w:rPr>
          <w:rFonts w:hint="default" w:ascii="Times New Roman" w:hAnsi="Times New Roman" w:eastAsia="黑体" w:cs="Times New Roman"/>
          <w:bCs/>
          <w:color w:val="000000"/>
          <w:kern w:val="2"/>
          <w:sz w:val="32"/>
          <w:szCs w:val="32"/>
          <w:highlight w:val="none"/>
          <w:lang w:val="en-US" w:eastAsia="zh-CN" w:bidi="ar-SA"/>
        </w:rPr>
      </w:pPr>
      <w:r>
        <w:rPr>
          <w:rFonts w:hint="eastAsia" w:ascii="Times New Roman" w:hAnsi="Times New Roman" w:eastAsia="黑体" w:cs="Times New Roman"/>
          <w:bCs/>
          <w:color w:val="000000"/>
          <w:kern w:val="2"/>
          <w:sz w:val="32"/>
          <w:szCs w:val="32"/>
          <w:highlight w:val="none"/>
          <w:lang w:val="en-US" w:eastAsia="zh-CN" w:bidi="ar-SA"/>
        </w:rPr>
        <w:t>参考示例1</w:t>
      </w:r>
    </w:p>
    <w:p w14:paraId="662FEE96">
      <w:pPr>
        <w:pStyle w:val="2"/>
        <w:keepNext/>
        <w:keepLines/>
        <w:pageBreakBefore w:val="0"/>
        <w:widowControl w:val="0"/>
        <w:kinsoku/>
        <w:wordWrap/>
        <w:overflowPunct/>
        <w:topLinePunct w:val="0"/>
        <w:autoSpaceDE/>
        <w:autoSpaceDN/>
        <w:bidi w:val="0"/>
        <w:adjustRightInd/>
        <w:snapToGrid/>
        <w:spacing w:before="0" w:beforeLines="0" w:after="0" w:afterLines="0"/>
        <w:textAlignment w:val="auto"/>
        <w:rPr>
          <w:rFonts w:hint="eastAsia" w:ascii="Times New Roman" w:hAnsi="Times New Roman" w:eastAsia="黑体" w:cs="Times New Roman"/>
          <w:color w:val="000000"/>
          <w:sz w:val="32"/>
          <w:szCs w:val="32"/>
          <w:highlight w:val="none"/>
          <w:lang w:eastAsia="zh-CN"/>
        </w:rPr>
      </w:pPr>
      <w:r>
        <w:rPr>
          <w:rFonts w:hint="default" w:ascii="Times New Roman" w:hAnsi="Times New Roman" w:cs="Times New Roman"/>
          <w:color w:val="000000"/>
          <w:sz w:val="32"/>
          <w:szCs w:val="32"/>
          <w:highlight w:val="none"/>
        </w:rPr>
        <w:t>农业机械化及其自动化专业</w:t>
      </w:r>
      <w:bookmarkEnd w:id="0"/>
      <w:r>
        <w:rPr>
          <w:rFonts w:hint="eastAsia" w:ascii="Times New Roman" w:hAnsi="Times New Roman" w:cs="Times New Roman"/>
          <w:color w:val="000000"/>
          <w:sz w:val="32"/>
          <w:szCs w:val="32"/>
          <w:highlight w:val="none"/>
          <w:lang w:eastAsia="zh-CN"/>
        </w:rPr>
        <w:t>（</w:t>
      </w:r>
      <w:r>
        <w:rPr>
          <w:rFonts w:hint="eastAsia" w:ascii="Times New Roman" w:hAnsi="Times New Roman" w:cs="Times New Roman"/>
          <w:color w:val="000000"/>
          <w:sz w:val="32"/>
          <w:szCs w:val="32"/>
          <w:highlight w:val="none"/>
          <w:lang w:val="en-US" w:eastAsia="zh-CN"/>
        </w:rPr>
        <w:t>2019版</w:t>
      </w:r>
      <w:r>
        <w:rPr>
          <w:rFonts w:hint="eastAsia" w:ascii="Times New Roman" w:hAnsi="Times New Roman" w:cs="Times New Roman"/>
          <w:color w:val="000000"/>
          <w:sz w:val="32"/>
          <w:szCs w:val="32"/>
          <w:highlight w:val="none"/>
          <w:lang w:eastAsia="zh-CN"/>
        </w:rPr>
        <w:t>）</w:t>
      </w:r>
    </w:p>
    <w:p w14:paraId="465B3860">
      <w:pPr>
        <w:spacing w:line="370" w:lineRule="exact"/>
        <w:ind w:firstLine="420" w:firstLineChars="200"/>
        <w:rPr>
          <w:rFonts w:hint="default" w:ascii="Times New Roman" w:hAnsi="Times New Roman" w:eastAsia="黑体" w:cs="Times New Roman"/>
          <w:bCs/>
          <w:color w:val="000000"/>
          <w:sz w:val="21"/>
          <w:szCs w:val="21"/>
          <w:highlight w:val="none"/>
        </w:rPr>
      </w:pPr>
      <w:r>
        <w:rPr>
          <w:rFonts w:hint="default" w:ascii="Times New Roman" w:hAnsi="Times New Roman" w:eastAsia="黑体" w:cs="Times New Roman"/>
          <w:bCs/>
          <w:color w:val="000000"/>
          <w:sz w:val="21"/>
          <w:szCs w:val="21"/>
          <w:highlight w:val="none"/>
        </w:rPr>
        <w:t>一、培养目标</w:t>
      </w:r>
    </w:p>
    <w:p w14:paraId="2A4728E7">
      <w:pPr>
        <w:spacing w:line="37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本专业培养身心健康、知识结构合理，有健全的人格、高尚的人文情怀和社会责任感，有一定的批判思维与创新能力、科学研究能力、交流沟通能力、终身学习能力和组织管理能力，具有国际视野和团队合作精神，掌握扎实的农业工程和机械工程基础理论和系统的专门知识，具备从事智能农业装备、机械工程等相关领域的科学研究、产品设计、技术研发、生产组织和管理等方面的工作能力，能在企事业和科研机构发挥骨干作用并具有领军素养的高素质复合应用型人才。</w:t>
      </w:r>
    </w:p>
    <w:p w14:paraId="3B47A651">
      <w:pPr>
        <w:spacing w:line="37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学生毕业5年后，预期达到以下目标：</w:t>
      </w:r>
    </w:p>
    <w:p w14:paraId="3C764CD6">
      <w:pPr>
        <w:spacing w:line="37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 xml:space="preserve">1. 知识能力：具有宽厚的数学、自然科学和工程基础知识，能综合应用基础知识、专业知识以及现代设计工具，解决农业装备和机械工程领域相关技术和产品的研究、设计、开发、测试和管理等复杂工程问题；  </w:t>
      </w:r>
    </w:p>
    <w:p w14:paraId="7C67CE2F">
      <w:pPr>
        <w:spacing w:line="37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 xml:space="preserve">2. 职业规范：树立工程师科学道德规范与伦理责任，能够有效地将安全、行业规范、技术标准、法律法规、环境、文化等非技术因素，进行综合考量来解决复杂工程问题，在工程项目实践中能坚持公众利益优先原则； </w:t>
      </w:r>
    </w:p>
    <w:p w14:paraId="0DB7DF46">
      <w:pPr>
        <w:spacing w:line="37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 xml:space="preserve">3. 团队精神：能够与他人进行有效交流沟通，与他人展开合作，具备在团队中行使职责的能力；能够在跨领域、跨文化环境中工作，并能够发挥有效作用； </w:t>
      </w:r>
    </w:p>
    <w:p w14:paraId="50884E52">
      <w:pPr>
        <w:spacing w:line="37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 xml:space="preserve">4. 国际视野：具有国际视野和跨文化的交流与合作能力，熟悉行业的国内外发展现状，了解行业发展趋势； </w:t>
      </w:r>
    </w:p>
    <w:p w14:paraId="757FE4F8">
      <w:pPr>
        <w:spacing w:line="37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5. 终身学习：具有自主学习和自我完善的能力，能够跟踪专业领域前沿理论、技术，获取新知识并加以消化吸收，以适应社会发展需求。</w:t>
      </w:r>
    </w:p>
    <w:p w14:paraId="1B6B1480">
      <w:pPr>
        <w:spacing w:line="370" w:lineRule="exact"/>
        <w:ind w:firstLine="420" w:firstLineChars="200"/>
        <w:rPr>
          <w:rFonts w:hint="default" w:ascii="Times New Roman" w:hAnsi="Times New Roman" w:eastAsia="黑体" w:cs="Times New Roman"/>
          <w:bCs/>
          <w:color w:val="000000"/>
          <w:sz w:val="21"/>
          <w:szCs w:val="21"/>
          <w:highlight w:val="none"/>
        </w:rPr>
      </w:pPr>
      <w:r>
        <w:rPr>
          <w:rFonts w:hint="default" w:ascii="Times New Roman" w:hAnsi="Times New Roman" w:eastAsia="黑体" w:cs="Times New Roman"/>
          <w:bCs/>
          <w:color w:val="000000"/>
          <w:sz w:val="21"/>
          <w:szCs w:val="21"/>
          <w:highlight w:val="none"/>
        </w:rPr>
        <w:t>二、毕业要求</w:t>
      </w:r>
    </w:p>
    <w:p w14:paraId="1683FEFA">
      <w:pPr>
        <w:spacing w:line="370" w:lineRule="exact"/>
        <w:ind w:firstLine="422" w:firstLineChars="200"/>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rPr>
        <w:t>1</w:t>
      </w:r>
      <w:r>
        <w:rPr>
          <w:rFonts w:hint="eastAsia" w:ascii="Times New Roman" w:hAnsi="Times New Roman" w:cs="Times New Roman"/>
          <w:b/>
          <w:color w:val="000000"/>
          <w:sz w:val="21"/>
          <w:szCs w:val="21"/>
          <w:highlight w:val="none"/>
          <w:lang w:val="en-US" w:eastAsia="zh-CN"/>
        </w:rPr>
        <w:t>.</w:t>
      </w:r>
      <w:r>
        <w:rPr>
          <w:rFonts w:hint="default" w:ascii="Times New Roman" w:hAnsi="Times New Roman" w:cs="Times New Roman"/>
          <w:b/>
          <w:color w:val="000000"/>
          <w:sz w:val="21"/>
          <w:szCs w:val="21"/>
          <w:highlight w:val="none"/>
        </w:rPr>
        <w:t>工程知识：系统地掌握数学、自然科学、农业工程和机械工程领域的基础理论和专业知识，能综合应用上述知识解决现代农业装备设计、制造和控制等领域中的复杂工程问题。</w:t>
      </w:r>
    </w:p>
    <w:p w14:paraId="57538701">
      <w:pPr>
        <w:spacing w:line="37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1-1系统地掌握相关的数学知识，并能将其应用于分析现代农业装备领域的复杂问题，并能用数学语言表述。</w:t>
      </w:r>
    </w:p>
    <w:p w14:paraId="0386E836">
      <w:pPr>
        <w:spacing w:line="37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1-2掌握相关的物理、化学等自然科学基础，并能将其应用于分析现代农业装备领域的复杂问题，并能恰当表述。</w:t>
      </w:r>
    </w:p>
    <w:p w14:paraId="34C6EB3F">
      <w:pPr>
        <w:spacing w:line="37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1-3 掌握现代农业装备设计、制造、自动控制等相关工程基础知识，并能够应用其基本概念、基本理论和基本方法对研究对象进行建模、求解与分析。</w:t>
      </w:r>
    </w:p>
    <w:p w14:paraId="70706396">
      <w:pPr>
        <w:spacing w:line="370" w:lineRule="exact"/>
        <w:ind w:firstLine="420" w:firstLineChars="200"/>
        <w:rPr>
          <w:rFonts w:hint="default" w:ascii="Times New Roman" w:hAnsi="Times New Roman" w:cs="Times New Roman"/>
          <w:bCs/>
          <w:color w:val="000000"/>
          <w:sz w:val="21"/>
          <w:szCs w:val="21"/>
          <w:highlight w:val="none"/>
        </w:rPr>
      </w:pPr>
      <w:r>
        <w:rPr>
          <w:rFonts w:hint="default" w:ascii="Times New Roman" w:hAnsi="Times New Roman" w:cs="Times New Roman"/>
          <w:color w:val="000000"/>
          <w:sz w:val="21"/>
          <w:szCs w:val="21"/>
          <w:highlight w:val="none"/>
        </w:rPr>
        <w:t>1-4 掌握现代农业装备领域的专业知识，能将其与数理基础和工程基础等知识相结合，综合应用于解决现代农业装备设计、制造、控制等复杂工程问题。</w:t>
      </w:r>
    </w:p>
    <w:p w14:paraId="6E331861">
      <w:pPr>
        <w:spacing w:line="370" w:lineRule="exact"/>
        <w:ind w:firstLine="422" w:firstLineChars="200"/>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rPr>
        <w:t>2</w:t>
      </w:r>
      <w:r>
        <w:rPr>
          <w:rFonts w:hint="eastAsia" w:ascii="Times New Roman" w:hAnsi="Times New Roman" w:cs="Times New Roman"/>
          <w:b/>
          <w:color w:val="000000"/>
          <w:sz w:val="21"/>
          <w:szCs w:val="21"/>
          <w:highlight w:val="none"/>
          <w:lang w:val="en-US" w:eastAsia="zh-CN"/>
        </w:rPr>
        <w:t>.</w:t>
      </w:r>
      <w:r>
        <w:rPr>
          <w:rFonts w:hint="default" w:ascii="Times New Roman" w:hAnsi="Times New Roman" w:cs="Times New Roman"/>
          <w:b/>
          <w:color w:val="000000"/>
          <w:sz w:val="21"/>
          <w:szCs w:val="21"/>
          <w:highlight w:val="none"/>
        </w:rPr>
        <w:t>问题分析：能够对现代农业装备设计、制造、自动控制等领域中的复杂工程问题进行识别和表达，并通过文献研究和科学分析，以获得有效结论。</w:t>
      </w:r>
    </w:p>
    <w:p w14:paraId="7F55DBBA">
      <w:pPr>
        <w:spacing w:line="37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2-1 能够应用数学、自然科学和工程科学的基本原理和方法，对现代农业装备设计、制造、自动控制等领域的复杂工程问题进行识别和分析。</w:t>
      </w:r>
    </w:p>
    <w:p w14:paraId="15E839E4">
      <w:pPr>
        <w:spacing w:line="37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2-2 能够通过文献查阅、分析或实验、实践，理解已有解决方案的多样性与局限性，并提出相应的解决方案。</w:t>
      </w:r>
    </w:p>
    <w:p w14:paraId="44C8A0E6">
      <w:pPr>
        <w:spacing w:line="370" w:lineRule="exact"/>
        <w:ind w:firstLine="420" w:firstLineChars="200"/>
        <w:rPr>
          <w:rFonts w:hint="default" w:ascii="Times New Roman" w:hAnsi="Times New Roman" w:cs="Times New Roman"/>
          <w:b/>
          <w:color w:val="000000"/>
          <w:sz w:val="21"/>
          <w:szCs w:val="21"/>
          <w:highlight w:val="none"/>
        </w:rPr>
      </w:pPr>
      <w:r>
        <w:rPr>
          <w:rFonts w:hint="default" w:ascii="Times New Roman" w:hAnsi="Times New Roman" w:cs="Times New Roman"/>
          <w:color w:val="000000"/>
          <w:sz w:val="21"/>
          <w:szCs w:val="21"/>
          <w:highlight w:val="none"/>
        </w:rPr>
        <w:t>2-3 能够对复杂工程问题的影响因素和关键环节（要素）等进行分析、比较，证实解决方案的合理性，并获得有效结论。</w:t>
      </w:r>
    </w:p>
    <w:p w14:paraId="0129F1E7">
      <w:pPr>
        <w:spacing w:line="370" w:lineRule="exact"/>
        <w:ind w:firstLine="422" w:firstLineChars="200"/>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rPr>
        <w:t>3</w:t>
      </w:r>
      <w:r>
        <w:rPr>
          <w:rFonts w:hint="eastAsia" w:ascii="Times New Roman" w:hAnsi="Times New Roman" w:cs="Times New Roman"/>
          <w:b/>
          <w:color w:val="000000"/>
          <w:sz w:val="21"/>
          <w:szCs w:val="21"/>
          <w:highlight w:val="none"/>
          <w:lang w:eastAsia="zh-CN"/>
        </w:rPr>
        <w:t>.</w:t>
      </w:r>
      <w:r>
        <w:rPr>
          <w:rFonts w:hint="default" w:ascii="Times New Roman" w:hAnsi="Times New Roman" w:cs="Times New Roman"/>
          <w:b/>
          <w:color w:val="000000"/>
          <w:sz w:val="21"/>
          <w:szCs w:val="21"/>
          <w:highlight w:val="none"/>
        </w:rPr>
        <w:t>设计/开发解决方案：能够在综合考虑社会、健康、安全、法律、文化以及环境等因素前提下，针对现代农业装备领域的复杂工程问题，设计/开发能够体现创新意识的工程解决方案。</w:t>
      </w:r>
    </w:p>
    <w:p w14:paraId="40041CFC">
      <w:pPr>
        <w:spacing w:line="37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3-1  能够在考虑社会、健康、安全、法律、文化以及环境等因素前提下，通过原理、结构、控制策略等方面的类比、改进或集成等方式提出多种解决方案，并对方案进行分析、论证、确定合理的解决方案。</w:t>
      </w:r>
    </w:p>
    <w:p w14:paraId="4163647A">
      <w:pPr>
        <w:spacing w:line="37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3-2 能够根据解决方案进行技术参数的设计计算与仿真优化，完成零部件设计、单元产品设计及系统总体设计或开发。</w:t>
      </w:r>
    </w:p>
    <w:p w14:paraId="433D8843">
      <w:pPr>
        <w:spacing w:line="370" w:lineRule="exact"/>
        <w:ind w:firstLine="420" w:firstLineChars="200"/>
        <w:rPr>
          <w:rFonts w:hint="default" w:ascii="Times New Roman" w:hAnsi="Times New Roman" w:cs="Times New Roman"/>
          <w:b/>
          <w:color w:val="000000"/>
          <w:sz w:val="21"/>
          <w:szCs w:val="21"/>
          <w:highlight w:val="none"/>
        </w:rPr>
      </w:pPr>
      <w:r>
        <w:rPr>
          <w:rFonts w:hint="default" w:ascii="Times New Roman" w:hAnsi="Times New Roman" w:cs="Times New Roman"/>
          <w:color w:val="000000"/>
          <w:sz w:val="21"/>
          <w:szCs w:val="21"/>
          <w:highlight w:val="none"/>
        </w:rPr>
        <w:t>3-3 能够运用工程图纸、设计报告、软件、模型等形式，呈现设计方案及解决结果。</w:t>
      </w:r>
    </w:p>
    <w:p w14:paraId="581BC36A">
      <w:pPr>
        <w:spacing w:line="370" w:lineRule="exact"/>
        <w:ind w:firstLine="422" w:firstLineChars="200"/>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rPr>
        <w:t>4</w:t>
      </w:r>
      <w:r>
        <w:rPr>
          <w:rFonts w:hint="eastAsia" w:ascii="Times New Roman" w:hAnsi="Times New Roman" w:cs="Times New Roman"/>
          <w:b/>
          <w:color w:val="000000"/>
          <w:sz w:val="21"/>
          <w:szCs w:val="21"/>
          <w:highlight w:val="none"/>
          <w:lang w:eastAsia="zh-CN"/>
        </w:rPr>
        <w:t>.</w:t>
      </w:r>
      <w:r>
        <w:rPr>
          <w:rFonts w:hint="default" w:ascii="Times New Roman" w:hAnsi="Times New Roman" w:cs="Times New Roman"/>
          <w:b/>
          <w:color w:val="000000"/>
          <w:sz w:val="21"/>
          <w:szCs w:val="21"/>
          <w:highlight w:val="none"/>
        </w:rPr>
        <w:t>研究：能够基于科学原理并采用科学方法，对现代农业装备领域的复杂工程问题进行包括结构设计、试验分析与信息综合得到合理有效的结论。</w:t>
      </w:r>
    </w:p>
    <w:p w14:paraId="2D3F6968">
      <w:pPr>
        <w:spacing w:line="37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4-1能够针对现代农业装备设计、制造、自动控制等领域的复杂工程问题，拟定研究路线，制定研究方案，设计整体实验方案、构建试验系统并开展有效实验研究。</w:t>
      </w:r>
    </w:p>
    <w:p w14:paraId="7C031738">
      <w:pPr>
        <w:spacing w:line="37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4-2 能够对复杂工程问题中所涉及到的安全、环境、结构、材料以及系统性能进行理论分析或实验测试、验证。</w:t>
      </w:r>
    </w:p>
    <w:p w14:paraId="32854B89">
      <w:pPr>
        <w:spacing w:line="370" w:lineRule="exact"/>
        <w:ind w:firstLine="420" w:firstLineChars="200"/>
        <w:rPr>
          <w:rFonts w:hint="default" w:ascii="Times New Roman" w:hAnsi="Times New Roman" w:cs="Times New Roman"/>
          <w:b/>
          <w:color w:val="000000"/>
          <w:sz w:val="21"/>
          <w:szCs w:val="21"/>
          <w:highlight w:val="none"/>
        </w:rPr>
      </w:pPr>
      <w:r>
        <w:rPr>
          <w:rFonts w:hint="default" w:ascii="Times New Roman" w:hAnsi="Times New Roman" w:cs="Times New Roman"/>
          <w:color w:val="000000"/>
          <w:sz w:val="21"/>
          <w:szCs w:val="21"/>
          <w:highlight w:val="none"/>
        </w:rPr>
        <w:t>4-3 能够正确采集、处理实验数据，对实验结果进行分析和解释，通过综合评价，给出关于描述与解决复杂工程问题的有效结论。</w:t>
      </w:r>
    </w:p>
    <w:p w14:paraId="41620B9C">
      <w:pPr>
        <w:spacing w:line="370" w:lineRule="exact"/>
        <w:ind w:firstLine="422" w:firstLineChars="200"/>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rPr>
        <w:t>5</w:t>
      </w:r>
      <w:r>
        <w:rPr>
          <w:rFonts w:hint="eastAsia" w:ascii="Times New Roman" w:hAnsi="Times New Roman" w:cs="Times New Roman"/>
          <w:b/>
          <w:color w:val="000000"/>
          <w:sz w:val="21"/>
          <w:szCs w:val="21"/>
          <w:highlight w:val="none"/>
          <w:lang w:eastAsia="zh-CN"/>
        </w:rPr>
        <w:t>.</w:t>
      </w:r>
      <w:r>
        <w:rPr>
          <w:rFonts w:hint="default" w:ascii="Times New Roman" w:hAnsi="Times New Roman" w:cs="Times New Roman"/>
          <w:b/>
          <w:color w:val="000000"/>
          <w:sz w:val="21"/>
          <w:szCs w:val="21"/>
          <w:highlight w:val="none"/>
        </w:rPr>
        <w:t>使用现代工具：能够针对现代农业装备领域的复杂工程问题，选择与使用恰当的技术、资源、信息和现代工程工具。</w:t>
      </w:r>
    </w:p>
    <w:p w14:paraId="23D89D31">
      <w:pPr>
        <w:spacing w:line="37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5-1 能够根据现代农业装备发展的需求及趋势，了解和掌握农业装备设计、制造及自动控制所需的工具和方法，并理解其局限性。</w:t>
      </w:r>
    </w:p>
    <w:p w14:paraId="153AAC5E">
      <w:pPr>
        <w:spacing w:line="37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5-2 能够选择与使用恰当的仪器设备、信息资源和专业软件对农业装备设计、制造及自动控制的复杂工程问题进行分析、计算与设计。</w:t>
      </w:r>
    </w:p>
    <w:p w14:paraId="5EC861F9">
      <w:pPr>
        <w:spacing w:line="370" w:lineRule="exact"/>
        <w:ind w:firstLine="420" w:firstLineChars="200"/>
        <w:rPr>
          <w:rFonts w:hint="default" w:ascii="Times New Roman" w:hAnsi="Times New Roman" w:cs="Times New Roman"/>
          <w:b/>
          <w:color w:val="000000"/>
          <w:sz w:val="21"/>
          <w:szCs w:val="21"/>
          <w:highlight w:val="none"/>
        </w:rPr>
      </w:pPr>
      <w:r>
        <w:rPr>
          <w:rFonts w:hint="default" w:ascii="Times New Roman" w:hAnsi="Times New Roman" w:cs="Times New Roman"/>
          <w:color w:val="000000"/>
          <w:sz w:val="21"/>
          <w:szCs w:val="21"/>
          <w:highlight w:val="none"/>
        </w:rPr>
        <w:t>5-3 能够在农业装备设计与研发过程中选用现代工具及信息资源，建立对象的模拟及预测模型，并能够对其测试与评价。</w:t>
      </w:r>
    </w:p>
    <w:p w14:paraId="33FA15C7">
      <w:pPr>
        <w:spacing w:line="370" w:lineRule="exact"/>
        <w:ind w:firstLine="422" w:firstLineChars="200"/>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rPr>
        <w:t>6</w:t>
      </w:r>
      <w:r>
        <w:rPr>
          <w:rFonts w:hint="eastAsia" w:ascii="Times New Roman" w:hAnsi="Times New Roman" w:cs="Times New Roman"/>
          <w:b/>
          <w:color w:val="000000"/>
          <w:sz w:val="21"/>
          <w:szCs w:val="21"/>
          <w:highlight w:val="none"/>
          <w:lang w:eastAsia="zh-CN"/>
        </w:rPr>
        <w:t>.</w:t>
      </w:r>
      <w:r>
        <w:rPr>
          <w:rFonts w:hint="default" w:ascii="Times New Roman" w:hAnsi="Times New Roman" w:cs="Times New Roman"/>
          <w:b/>
          <w:color w:val="000000"/>
          <w:sz w:val="21"/>
          <w:szCs w:val="21"/>
          <w:highlight w:val="none"/>
        </w:rPr>
        <w:t>工程与社会：能够基于工程的相关背景，评价现代农业装备领域的复杂工程问题解决方案对社会、健康、安全、法律以及文化的影响，并理解应承担的责任。</w:t>
      </w:r>
    </w:p>
    <w:p w14:paraId="01F402D5">
      <w:pPr>
        <w:spacing w:line="37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6-1 理解工业社会发展基本规律，了解与农业装备行业相关的技术标准体系、知识产权、产业政策和法律法规，理解不同社会文化对工程活动的影响。</w:t>
      </w:r>
    </w:p>
    <w:p w14:paraId="531AED5A">
      <w:pPr>
        <w:spacing w:line="370" w:lineRule="exact"/>
        <w:ind w:firstLine="420" w:firstLineChars="200"/>
        <w:rPr>
          <w:rFonts w:hint="default" w:ascii="Times New Roman" w:hAnsi="Times New Roman" w:cs="Times New Roman"/>
          <w:b/>
          <w:color w:val="000000"/>
          <w:sz w:val="21"/>
          <w:szCs w:val="21"/>
          <w:highlight w:val="none"/>
        </w:rPr>
      </w:pPr>
      <w:r>
        <w:rPr>
          <w:rFonts w:hint="default" w:ascii="Times New Roman" w:hAnsi="Times New Roman" w:cs="Times New Roman"/>
          <w:color w:val="000000"/>
          <w:sz w:val="21"/>
          <w:szCs w:val="21"/>
          <w:highlight w:val="none"/>
        </w:rPr>
        <w:t>6-2 能够分析并正确评价农业装备新技术、新工艺、新材料、新产品的开发和应用对社会、健康、安全、法律以及文化的影响，并能理解和承担工程科技人员的社会责任。</w:t>
      </w:r>
    </w:p>
    <w:p w14:paraId="3448D524">
      <w:pPr>
        <w:spacing w:line="370" w:lineRule="exact"/>
        <w:ind w:firstLine="422" w:firstLineChars="200"/>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rPr>
        <w:t>7</w:t>
      </w:r>
      <w:r>
        <w:rPr>
          <w:rFonts w:hint="eastAsia" w:ascii="Times New Roman" w:hAnsi="Times New Roman" w:cs="Times New Roman"/>
          <w:b/>
          <w:color w:val="000000"/>
          <w:sz w:val="21"/>
          <w:szCs w:val="21"/>
          <w:highlight w:val="none"/>
          <w:lang w:eastAsia="zh-CN"/>
        </w:rPr>
        <w:t>.</w:t>
      </w:r>
      <w:r>
        <w:rPr>
          <w:rFonts w:hint="default" w:ascii="Times New Roman" w:hAnsi="Times New Roman" w:cs="Times New Roman"/>
          <w:b/>
          <w:color w:val="000000"/>
          <w:sz w:val="21"/>
          <w:szCs w:val="21"/>
          <w:highlight w:val="none"/>
        </w:rPr>
        <w:t>环境和可持续发展：能够理解和评价现代农业装备工程实践对环境、社会可持续发展的影响，并能够将大工程观及可持续性发展理念贯穿于现代农业装备工程实践中。</w:t>
      </w:r>
    </w:p>
    <w:p w14:paraId="49230486">
      <w:pPr>
        <w:spacing w:line="37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7-1 理解农业工程及机械工程领域相关的环境保护与可持续发展的理念、内涵及相关的方针、政策和法律、法规，具有环境保护和可持续发展意识。</w:t>
      </w:r>
    </w:p>
    <w:p w14:paraId="6C6066B4">
      <w:pPr>
        <w:spacing w:line="370" w:lineRule="exact"/>
        <w:ind w:firstLine="420" w:firstLineChars="200"/>
        <w:rPr>
          <w:rFonts w:hint="default" w:ascii="Times New Roman" w:hAnsi="Times New Roman" w:cs="Times New Roman"/>
          <w:b/>
          <w:color w:val="000000"/>
          <w:sz w:val="21"/>
          <w:szCs w:val="21"/>
          <w:highlight w:val="none"/>
        </w:rPr>
      </w:pPr>
      <w:r>
        <w:rPr>
          <w:rFonts w:hint="default" w:ascii="Times New Roman" w:hAnsi="Times New Roman" w:cs="Times New Roman"/>
          <w:color w:val="000000"/>
          <w:sz w:val="21"/>
          <w:szCs w:val="21"/>
          <w:highlight w:val="none"/>
        </w:rPr>
        <w:t>7-2 能够分析并正确评价农业装备工程实践中对于环境和社会可持续发展的影响，能够对工程实践可能产生的环境与可持续发展等问题提出解决或改进方案。</w:t>
      </w:r>
    </w:p>
    <w:p w14:paraId="0AAAF129">
      <w:pPr>
        <w:spacing w:line="370" w:lineRule="exact"/>
        <w:ind w:firstLine="422" w:firstLineChars="200"/>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rPr>
        <w:t>8</w:t>
      </w:r>
      <w:r>
        <w:rPr>
          <w:rFonts w:hint="eastAsia" w:ascii="Times New Roman" w:hAnsi="Times New Roman" w:cs="Times New Roman"/>
          <w:b/>
          <w:color w:val="000000"/>
          <w:sz w:val="21"/>
          <w:szCs w:val="21"/>
          <w:highlight w:val="none"/>
          <w:lang w:eastAsia="zh-CN"/>
        </w:rPr>
        <w:t>.</w:t>
      </w:r>
      <w:r>
        <w:rPr>
          <w:rFonts w:hint="default" w:ascii="Times New Roman" w:hAnsi="Times New Roman" w:cs="Times New Roman"/>
          <w:b/>
          <w:color w:val="000000"/>
          <w:sz w:val="21"/>
          <w:szCs w:val="21"/>
          <w:highlight w:val="none"/>
        </w:rPr>
        <w:t>职业规范：具有人文社会科学素养、社会责任感，能够在工程实践中理解并遵守工程职业道德和规范，严格履行职业责任。</w:t>
      </w:r>
    </w:p>
    <w:p w14:paraId="1193E9BD">
      <w:pPr>
        <w:spacing w:line="37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8-1 具备正确的世界观、人生观和价值观，理解个人与历史、社会和自然环境的关系，具有推动农业装备领域技术进步和社会发展的责任感。</w:t>
      </w:r>
    </w:p>
    <w:p w14:paraId="77D59CE5">
      <w:pPr>
        <w:spacing w:line="370" w:lineRule="exact"/>
        <w:ind w:firstLine="420" w:firstLineChars="200"/>
        <w:rPr>
          <w:rFonts w:hint="default" w:ascii="Times New Roman" w:hAnsi="Times New Roman" w:cs="Times New Roman"/>
          <w:b/>
          <w:color w:val="000000"/>
          <w:sz w:val="21"/>
          <w:szCs w:val="21"/>
          <w:highlight w:val="none"/>
        </w:rPr>
      </w:pPr>
      <w:r>
        <w:rPr>
          <w:rFonts w:hint="default" w:ascii="Times New Roman" w:hAnsi="Times New Roman" w:cs="Times New Roman"/>
          <w:color w:val="000000"/>
          <w:sz w:val="21"/>
          <w:szCs w:val="21"/>
          <w:highlight w:val="none"/>
        </w:rPr>
        <w:t>8-2 理解诚实公正、诚信守则的工程职业道德和规范，能够在工程实践中自觉遵守，具有法律意识。</w:t>
      </w:r>
    </w:p>
    <w:p w14:paraId="5A152829">
      <w:pPr>
        <w:spacing w:line="370" w:lineRule="exact"/>
        <w:ind w:firstLine="422" w:firstLineChars="200"/>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rPr>
        <w:t>9</w:t>
      </w:r>
      <w:r>
        <w:rPr>
          <w:rFonts w:hint="eastAsia" w:ascii="Times New Roman" w:hAnsi="Times New Roman" w:cs="Times New Roman"/>
          <w:b/>
          <w:color w:val="000000"/>
          <w:sz w:val="21"/>
          <w:szCs w:val="21"/>
          <w:highlight w:val="none"/>
          <w:lang w:eastAsia="zh-CN"/>
        </w:rPr>
        <w:t>.</w:t>
      </w:r>
      <w:r>
        <w:rPr>
          <w:rFonts w:hint="default" w:ascii="Times New Roman" w:hAnsi="Times New Roman" w:cs="Times New Roman"/>
          <w:b/>
          <w:color w:val="000000"/>
          <w:sz w:val="21"/>
          <w:szCs w:val="21"/>
          <w:highlight w:val="none"/>
        </w:rPr>
        <w:t>个人与团队：能够在多学科背景下的团队中承担个体、团队成员以及负责人的角色。</w:t>
      </w:r>
    </w:p>
    <w:p w14:paraId="7634BF48">
      <w:pPr>
        <w:spacing w:line="37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9-1 具有团队合作意识能够与团队成员有效沟通，合作共事，并能配合团队项目的实施，完成进度计划和个人任务。</w:t>
      </w:r>
    </w:p>
    <w:p w14:paraId="73F61636">
      <w:pPr>
        <w:spacing w:line="370" w:lineRule="exact"/>
        <w:ind w:firstLine="420" w:firstLineChars="200"/>
        <w:rPr>
          <w:rFonts w:hint="default" w:ascii="Times New Roman" w:hAnsi="Times New Roman" w:cs="Times New Roman"/>
          <w:b/>
          <w:color w:val="000000"/>
          <w:sz w:val="21"/>
          <w:szCs w:val="21"/>
          <w:highlight w:val="none"/>
        </w:rPr>
      </w:pPr>
      <w:r>
        <w:rPr>
          <w:rFonts w:hint="default" w:ascii="Times New Roman" w:hAnsi="Times New Roman" w:cs="Times New Roman"/>
          <w:color w:val="000000"/>
          <w:sz w:val="21"/>
          <w:szCs w:val="21"/>
          <w:highlight w:val="none"/>
        </w:rPr>
        <w:t>9-2 能够组织、协调和指挥团队，合理进行项目的任务分解和计划实施。</w:t>
      </w:r>
    </w:p>
    <w:p w14:paraId="1BF2C002">
      <w:pPr>
        <w:spacing w:line="370" w:lineRule="exact"/>
        <w:ind w:firstLine="422" w:firstLineChars="200"/>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rPr>
        <w:t>10</w:t>
      </w:r>
      <w:r>
        <w:rPr>
          <w:rFonts w:hint="eastAsia" w:ascii="Times New Roman" w:hAnsi="Times New Roman" w:cs="Times New Roman"/>
          <w:b/>
          <w:color w:val="000000"/>
          <w:sz w:val="21"/>
          <w:szCs w:val="21"/>
          <w:highlight w:val="none"/>
          <w:lang w:eastAsia="zh-CN"/>
        </w:rPr>
        <w:t>.</w:t>
      </w:r>
      <w:r>
        <w:rPr>
          <w:rFonts w:hint="default" w:ascii="Times New Roman" w:hAnsi="Times New Roman" w:cs="Times New Roman"/>
          <w:b/>
          <w:color w:val="000000"/>
          <w:sz w:val="21"/>
          <w:szCs w:val="21"/>
          <w:highlight w:val="none"/>
        </w:rPr>
        <w:t>沟通：能够运用工程技术语言与相关领域同行及社会公众进行有效沟通和交流，并具备一定的国际视野，能够进行跨文化背景的沟通和交流。</w:t>
      </w:r>
    </w:p>
    <w:p w14:paraId="079E0047">
      <w:pPr>
        <w:spacing w:line="37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10-1 能够利用工程图纸、数字模型、书面报告、多媒体等载体，或通过讲座、报告等形式，准确描述对农业装备问题的认识和想法，面向国内外同行及社会公众，就技术或工程问题进行有效沟通。</w:t>
      </w:r>
    </w:p>
    <w:p w14:paraId="5E1662D8">
      <w:pPr>
        <w:spacing w:line="370" w:lineRule="exact"/>
        <w:ind w:firstLine="420" w:firstLineChars="200"/>
        <w:rPr>
          <w:rFonts w:hint="default" w:ascii="Times New Roman" w:hAnsi="Times New Roman" w:cs="Times New Roman"/>
          <w:b/>
          <w:color w:val="000000"/>
          <w:sz w:val="21"/>
          <w:szCs w:val="21"/>
          <w:highlight w:val="none"/>
        </w:rPr>
      </w:pPr>
      <w:r>
        <w:rPr>
          <w:rFonts w:hint="default" w:ascii="Times New Roman" w:hAnsi="Times New Roman" w:cs="Times New Roman"/>
          <w:color w:val="000000"/>
          <w:sz w:val="21"/>
          <w:szCs w:val="21"/>
          <w:highlight w:val="none"/>
        </w:rPr>
        <w:t>10-2 具备跨文化交流的语言和书面表达能力，能够理解跨文化背景下的工程问题，包含文化习惯、工程标准等，并进行沟通和交流。</w:t>
      </w:r>
    </w:p>
    <w:p w14:paraId="7BC47A59">
      <w:pPr>
        <w:spacing w:line="370" w:lineRule="exact"/>
        <w:ind w:firstLine="422" w:firstLineChars="200"/>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rPr>
        <w:t>11</w:t>
      </w:r>
      <w:r>
        <w:rPr>
          <w:rFonts w:hint="eastAsia" w:ascii="Times New Roman" w:hAnsi="Times New Roman" w:cs="Times New Roman"/>
          <w:b/>
          <w:color w:val="000000"/>
          <w:sz w:val="21"/>
          <w:szCs w:val="21"/>
          <w:highlight w:val="none"/>
          <w:lang w:eastAsia="zh-CN"/>
        </w:rPr>
        <w:t>.</w:t>
      </w:r>
      <w:r>
        <w:rPr>
          <w:rFonts w:hint="default" w:ascii="Times New Roman" w:hAnsi="Times New Roman" w:cs="Times New Roman"/>
          <w:b/>
          <w:color w:val="000000"/>
          <w:sz w:val="21"/>
          <w:szCs w:val="21"/>
          <w:highlight w:val="none"/>
        </w:rPr>
        <w:t>项目管理：理解并掌握工程管理原理与经济决策方法，并能够在多学科环境中应用。</w:t>
      </w:r>
    </w:p>
    <w:p w14:paraId="08F4951C">
      <w:pPr>
        <w:spacing w:line="37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11-1 掌握农业装备工程项目中涉及的管理与经济决策方法，具备工程经济管理的基本知识和应用能力。</w:t>
      </w:r>
    </w:p>
    <w:p w14:paraId="42099ED5">
      <w:pPr>
        <w:spacing w:line="370" w:lineRule="exact"/>
        <w:ind w:firstLine="420" w:firstLineChars="200"/>
        <w:rPr>
          <w:rFonts w:hint="default" w:ascii="Times New Roman" w:hAnsi="Times New Roman" w:cs="Times New Roman"/>
          <w:b/>
          <w:color w:val="000000"/>
          <w:sz w:val="21"/>
          <w:szCs w:val="21"/>
          <w:highlight w:val="none"/>
        </w:rPr>
      </w:pPr>
      <w:r>
        <w:rPr>
          <w:rFonts w:hint="default" w:ascii="Times New Roman" w:hAnsi="Times New Roman" w:cs="Times New Roman"/>
          <w:color w:val="000000"/>
          <w:sz w:val="21"/>
          <w:szCs w:val="21"/>
          <w:highlight w:val="none"/>
        </w:rPr>
        <w:t>11-2 能在多学科环境下，在农业装备研发过程中，运用工程管理与经济决策方法，开展工程进度管理、任务管理。</w:t>
      </w:r>
    </w:p>
    <w:p w14:paraId="6E88CD61">
      <w:pPr>
        <w:spacing w:line="370" w:lineRule="exact"/>
        <w:ind w:firstLine="422" w:firstLineChars="200"/>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rPr>
        <w:t>12</w:t>
      </w:r>
      <w:r>
        <w:rPr>
          <w:rFonts w:hint="eastAsia" w:ascii="Times New Roman" w:hAnsi="Times New Roman" w:cs="Times New Roman"/>
          <w:b/>
          <w:color w:val="000000"/>
          <w:sz w:val="21"/>
          <w:szCs w:val="21"/>
          <w:highlight w:val="none"/>
          <w:lang w:eastAsia="zh-CN"/>
        </w:rPr>
        <w:t>.</w:t>
      </w:r>
      <w:r>
        <w:rPr>
          <w:rFonts w:hint="default" w:ascii="Times New Roman" w:hAnsi="Times New Roman" w:cs="Times New Roman"/>
          <w:b/>
          <w:color w:val="000000"/>
          <w:sz w:val="21"/>
          <w:szCs w:val="21"/>
          <w:highlight w:val="none"/>
        </w:rPr>
        <w:t>终身学习：具有自主学习和终身学习的意识，有不断学习和适应现代农业装备及相关领域技术发展的能力。</w:t>
      </w:r>
    </w:p>
    <w:p w14:paraId="17FECB8D">
      <w:pPr>
        <w:spacing w:line="37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12-1 能在社会发展的大背景下，及时关注并跟踪、把握现代农业装备及相关专业领域前沿理论、技术的发展动态，认识到自主和终身学习的必要性。</w:t>
      </w:r>
    </w:p>
    <w:p w14:paraId="260D5ED3">
      <w:pPr>
        <w:spacing w:line="37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12-2 具有自主学习和终身学习的能力，能不断获取新知识并加以消化和应用，以适应社会发展的需求。</w:t>
      </w:r>
    </w:p>
    <w:p w14:paraId="5C6BF1FE">
      <w:pPr>
        <w:pStyle w:val="2"/>
        <w:keepNext/>
        <w:keepLines/>
        <w:pageBreakBefore w:val="0"/>
        <w:widowControl w:val="0"/>
        <w:kinsoku/>
        <w:wordWrap/>
        <w:overflowPunct/>
        <w:topLinePunct w:val="0"/>
        <w:autoSpaceDE/>
        <w:autoSpaceDN/>
        <w:bidi w:val="0"/>
        <w:adjustRightInd/>
        <w:snapToGrid/>
        <w:spacing w:before="0" w:beforeLines="0" w:after="0" w:afterLines="0"/>
        <w:textAlignment w:val="auto"/>
        <w:rPr>
          <w:rFonts w:hint="default" w:ascii="Times New Roman" w:hAnsi="Times New Roman" w:cs="Times New Roman"/>
          <w:color w:val="000000"/>
          <w:sz w:val="32"/>
          <w:szCs w:val="32"/>
          <w:highlight w:val="none"/>
          <w:lang w:val="en-US" w:eastAsia="zh-CN"/>
        </w:rPr>
      </w:pPr>
      <w:r>
        <w:rPr>
          <w:rFonts w:hint="eastAsia" w:ascii="Times New Roman" w:hAnsi="Times New Roman" w:cs="Times New Roman"/>
          <w:color w:val="000000"/>
          <w:sz w:val="32"/>
          <w:szCs w:val="32"/>
          <w:highlight w:val="none"/>
          <w:lang w:val="en-US" w:eastAsia="zh-CN"/>
        </w:rPr>
        <w:t>参考示例2</w:t>
      </w:r>
    </w:p>
    <w:p w14:paraId="4BD73733">
      <w:pPr>
        <w:pStyle w:val="2"/>
        <w:keepNext/>
        <w:keepLines/>
        <w:pageBreakBefore w:val="0"/>
        <w:widowControl w:val="0"/>
        <w:kinsoku/>
        <w:wordWrap/>
        <w:overflowPunct/>
        <w:topLinePunct w:val="0"/>
        <w:autoSpaceDE/>
        <w:autoSpaceDN/>
        <w:bidi w:val="0"/>
        <w:adjustRightInd/>
        <w:snapToGrid/>
        <w:spacing w:before="0" w:beforeLines="0" w:after="0" w:afterLines="0"/>
        <w:textAlignment w:val="auto"/>
        <w:rPr>
          <w:rFonts w:hint="eastAsia" w:ascii="Times New Roman" w:hAnsi="Times New Roman" w:cs="Times New Roman"/>
          <w:color w:val="000000"/>
          <w:sz w:val="32"/>
          <w:szCs w:val="32"/>
          <w:highlight w:val="none"/>
          <w:lang w:val="en-US" w:eastAsia="zh-CN"/>
        </w:rPr>
      </w:pPr>
      <w:bookmarkStart w:id="1" w:name="_Toc58253645"/>
      <w:bookmarkStart w:id="2" w:name="_Toc10639"/>
      <w:r>
        <w:rPr>
          <w:rFonts w:hint="default" w:ascii="Times New Roman" w:hAnsi="Times New Roman" w:cs="Times New Roman"/>
          <w:color w:val="000000"/>
          <w:sz w:val="32"/>
          <w:szCs w:val="32"/>
          <w:highlight w:val="none"/>
          <w:lang w:val="en-US" w:eastAsia="zh-CN"/>
        </w:rPr>
        <w:t>农业水利工程专业</w:t>
      </w:r>
      <w:bookmarkEnd w:id="1"/>
      <w:bookmarkEnd w:id="2"/>
      <w:r>
        <w:rPr>
          <w:rFonts w:hint="eastAsia" w:ascii="Times New Roman" w:hAnsi="Times New Roman" w:cs="Times New Roman"/>
          <w:color w:val="000000"/>
          <w:sz w:val="32"/>
          <w:szCs w:val="32"/>
          <w:highlight w:val="none"/>
          <w:lang w:val="en-US" w:eastAsia="zh-CN"/>
        </w:rPr>
        <w:t>（2019版）</w:t>
      </w:r>
    </w:p>
    <w:p w14:paraId="2117422A">
      <w:pPr>
        <w:spacing w:line="360" w:lineRule="exact"/>
        <w:ind w:firstLine="420" w:firstLineChars="200"/>
        <w:rPr>
          <w:rFonts w:hint="default" w:ascii="Times New Roman" w:hAnsi="Times New Roman" w:eastAsia="黑体" w:cs="Times New Roman"/>
          <w:color w:val="000000"/>
          <w:sz w:val="21"/>
          <w:szCs w:val="21"/>
          <w:highlight w:val="none"/>
        </w:rPr>
      </w:pPr>
      <w:r>
        <w:rPr>
          <w:rFonts w:hint="default" w:ascii="Times New Roman" w:hAnsi="Times New Roman" w:eastAsia="黑体" w:cs="Times New Roman"/>
          <w:color w:val="000000"/>
          <w:sz w:val="21"/>
          <w:szCs w:val="21"/>
          <w:highlight w:val="none"/>
        </w:rPr>
        <w:t>二、毕业要求</w:t>
      </w:r>
    </w:p>
    <w:p w14:paraId="2C97C716">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1．工程知识：掌握数学、自然科学、工程基础，以及与蓄水、引水、提水、供水、灌溉和排水相关的专业知识，并能应用于解决复杂农业水利工程问题。</w:t>
      </w:r>
    </w:p>
    <w:p w14:paraId="54DE69EC">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1-1掌握数学、自然科学的基本理论与基本方法，并能将其应用于对农业水利工程复杂问题的适当表述；</w:t>
      </w:r>
    </w:p>
    <w:p w14:paraId="412F0046">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1-2掌握力学、工程制图与CAD、工程测量、地质等工程基础知识，能将其用于农业水利工程的规划、勘测、设计和施工等；</w:t>
      </w:r>
    </w:p>
    <w:p w14:paraId="07465C8D">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1-3掌握计算机、MATLAB等基础知识，能针对复杂工程系统选择恰当的数学模型，并对模型进行推理和求解；</w:t>
      </w:r>
    </w:p>
    <w:p w14:paraId="131167B5">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1-4掌握工程水文、建筑材料、土壤与农作学以及蓄水、引水、提水、供水、灌溉和排水等专业知识，能够正确评价与解决农业水利工程建设中的相关问题。</w:t>
      </w:r>
    </w:p>
    <w:p w14:paraId="76346631">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2．问题分析：能够应用数学、自然科学、农业工程和水利工程学科的基本原理，通过国内外文献检索与研究，分析蓄水、引水、提水、供水、灌溉和排水相关的复杂工程问题，并进行正确识别与表达。</w:t>
      </w:r>
    </w:p>
    <w:p w14:paraId="4B41C69B">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2-1利用数学与自然科学知识，对农业水利复杂工程问题进行参数识别与模型表达，并满足适当的精度要求；</w:t>
      </w:r>
    </w:p>
    <w:p w14:paraId="6790E5C4">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2-2通过文献查阅与分析，获得解决问题的多种方法，并分析确定适当方法；</w:t>
      </w:r>
    </w:p>
    <w:p w14:paraId="4B1913A8">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2-3能运用工程科学的基本原理，针对一个复杂的农业水利问题，分析影响因素，正确表达工程问题的关键环节及其解决方案，证明解决方案的可行性和合理性。</w:t>
      </w:r>
    </w:p>
    <w:p w14:paraId="19C6518C">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3．设计/开发解决方案：能够针对蓄水、引水、提水、供水、灌溉和排水等农业水利工程复杂问题，考虑社会、健康、安全、法律、文化以及环境等因素，提出具有创新意识的设计、开发解决方案。</w:t>
      </w:r>
    </w:p>
    <w:p w14:paraId="71E14617">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3-1掌握满足特定需求的农业水利工程设计方法；</w:t>
      </w:r>
    </w:p>
    <w:p w14:paraId="1D245A73">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3-2能够运用专业知识，进行农业水利工程项目设计，编写符合规范要求的设计报告；</w:t>
      </w:r>
    </w:p>
    <w:p w14:paraId="174CF025">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3-3设计环节中体现创新意识，进行不同工程方案的比选和优化，并能够考虑经济、环境、法律、伦理等各种制约因素。</w:t>
      </w:r>
    </w:p>
    <w:p w14:paraId="6AD2BD9D">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4．研究：能够基于科学原理并采用科学方法，对农业水利工程及相关领域复杂工程问题进行实验设计、科学观测、数据分析、模型构建、理论研究等，并通过信息综合获得合理有效的结论。</w:t>
      </w:r>
    </w:p>
    <w:p w14:paraId="30DF5ED9">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4-1掌握农业水利工程专业领域工程实验的基本原理和方法，并能针对复杂工程问题进行科学的试验设计；</w:t>
      </w:r>
    </w:p>
    <w:p w14:paraId="0D024F8A">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4-2根据实验目的确定需要的参数及其精度，能正确选择实验仪器和设备，进行数据采集、收集和测量；</w:t>
      </w:r>
    </w:p>
    <w:p w14:paraId="105C7637">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4-3具备对试验结果进行合理分析和解释的能力，并通过对信息综合分析得到合理有效的结论。</w:t>
      </w:r>
    </w:p>
    <w:p w14:paraId="7599D09E">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5．使用现代工具：能够选择和使用先进的信息技术、大数据和云技术、人工智能技术、新型工程仪器设备、相关专业软件及其他现代科学技术工具，对农业水利工程及相关领域复杂工程问题进行模拟与预测，分析结果的合理性和可靠性，并理解其局限性。</w:t>
      </w:r>
    </w:p>
    <w:p w14:paraId="43F1807F">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5-1能够选择和使用现代工具及信息技术，对农业水利工程专业复杂问题进行预测分析及模拟研究等；</w:t>
      </w:r>
    </w:p>
    <w:p w14:paraId="295B2DD2">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5-2能理解现代技术工具的局限性，并能认识其对于上述技术工作的影响状况。</w:t>
      </w:r>
    </w:p>
    <w:p w14:paraId="12CF973C">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6．工程与社会：基于专业知识及行业规范，正确分析和评价蓄水、引水、提水、供水、灌溉和排水相关的农业水利复杂工程解决方案对社会、健康、安全、法律以及文化的影响，并充分理解应承担的责任。</w:t>
      </w:r>
    </w:p>
    <w:p w14:paraId="289B6117">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6-1了解农业水利工程相关的方针、政策和法律法规，掌握相关的规范、规程等；</w:t>
      </w:r>
    </w:p>
    <w:p w14:paraId="4AAF1333">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6-2能够运用相关工程基础和专业知识，正确评价农业水利工程方案对社会、健康、安全、法律以及文化的影响，并理解应该承担的责任。</w:t>
      </w:r>
    </w:p>
    <w:p w14:paraId="2A2CE276">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7．环境和可持续发展：能够正确理解和科学评价农业水利工程建设与运行对环境和生态保护、以及对社会可持续发展的影响。</w:t>
      </w:r>
    </w:p>
    <w:p w14:paraId="3E66CB76">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7-1了解国家农业水利政策，理解农业水利工程与环境和生态保护的关系；</w:t>
      </w:r>
    </w:p>
    <w:p w14:paraId="3F677637">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7-2了解并正确评价水利工程建设对于可持续发展的影响。</w:t>
      </w:r>
    </w:p>
    <w:p w14:paraId="6ACEEB27">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8．职业规范：具有人文社会科学素养、社会责任感，能够在工程实践中理解并遵守工程职业道德和规范，履行责任。</w:t>
      </w:r>
    </w:p>
    <w:p w14:paraId="2E43A186">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8-1具有身体素质、人文素养和科学素养，以及和谐健全的人格；</w:t>
      </w:r>
    </w:p>
    <w:p w14:paraId="5DCAFB56">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8-2正确的价值观和分析判断能力、强烈的社会责任感；</w:t>
      </w:r>
    </w:p>
    <w:p w14:paraId="09C9B849">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8-3理解农业水利工程对吃苦耐劳的基本要求，清楚基本职业道德的内涵及其相关法律法规，并在实践中认真遵守。</w:t>
      </w:r>
    </w:p>
    <w:p w14:paraId="6EA8356F">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9．个人与团队：了解农业水利工程项目科研、建设、运行与管理的组织架构模式，能够在多专业背景下的团队中承担个体、团队成员以及负责人的角色。</w:t>
      </w:r>
    </w:p>
    <w:p w14:paraId="188888AD">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9-1理解团队精神在农业水利工程中的重要意义，明确个人在团队中的角色，与团队成员团结合作；</w:t>
      </w:r>
    </w:p>
    <w:p w14:paraId="58DDE050">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9-2能够倾听他人意见，并共享信息。</w:t>
      </w:r>
    </w:p>
    <w:p w14:paraId="49CF8E2E">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10．沟通：能够就农业水利复杂工程问题与业界同行及社会公众进行有效的沟通和交流，包括撰写报告和设计文稿、陈述发言、清晰表达或回应指令；至少掌握一门外语，并具备一定的国际视野，能够在跨文化背景下进行沟通和交流。</w:t>
      </w:r>
    </w:p>
    <w:p w14:paraId="7DC2E09F">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10-1了解国内外农业水利工程及其相关领域的发展现状与趋势，具有国际交流与合作的能力；</w:t>
      </w:r>
    </w:p>
    <w:p w14:paraId="08CA445C">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10-2针对农业水利复杂工程问题，能通过口头或书面形式清楚表达自己的看法，与同行及社会公众进行有效沟通，并做出合理解释。</w:t>
      </w:r>
    </w:p>
    <w:p w14:paraId="0483A407">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11．项目管理：具有管理、经济和法律等一些社会科学领域的知识背景，掌握农业水利工程项目建设程序与管理办法，效益评估、立项决策方法以及运行管理体制，具备较强的管理能力，并能在多学科环境中应用。</w:t>
      </w:r>
    </w:p>
    <w:p w14:paraId="48A2626C">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11-1掌握水利工程管理的基本理论与方法，具有解决工程实际问题的能力；</w:t>
      </w:r>
    </w:p>
    <w:p w14:paraId="45CA194A">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11-2了解并掌握工程经济的基本知识，具备对实际工程建设与运行调度方案进行经济分析的能力。</w:t>
      </w:r>
    </w:p>
    <w:p w14:paraId="1C5162B3">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12．终身学习：对社会进步的规律和新技术有一定认识，具有自主学习和终身学习的意识，具有不断学习和适应未来发展的能力。</w:t>
      </w:r>
    </w:p>
    <w:p w14:paraId="0EBED072">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12-1清楚了解自主学习和终身学习的重要性；</w:t>
      </w:r>
    </w:p>
    <w:p w14:paraId="4F698A91">
      <w:pPr>
        <w:spacing w:line="360" w:lineRule="exact"/>
        <w:ind w:firstLine="420" w:firstLineChars="20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12-2具有采用适当的学习方法，不断提升适应未来发展的能力。</w:t>
      </w:r>
    </w:p>
    <w:p w14:paraId="5B633827">
      <w:pPr>
        <w:keepNext w:val="0"/>
        <w:keepLines w:val="0"/>
        <w:pageBreakBefore w:val="0"/>
        <w:widowControl/>
        <w:suppressLineNumbers w:val="0"/>
        <w:kinsoku/>
        <w:wordWrap/>
        <w:overflowPunct/>
        <w:topLinePunct w:val="0"/>
        <w:autoSpaceDE/>
        <w:autoSpaceDN/>
        <w:bidi w:val="0"/>
        <w:adjustRightInd/>
        <w:snapToGrid/>
        <w:spacing w:line="520" w:lineRule="exact"/>
        <w:ind w:firstLine="420" w:firstLineChars="200"/>
        <w:jc w:val="left"/>
        <w:textAlignment w:val="auto"/>
        <w:rPr>
          <w:rFonts w:hint="default" w:ascii="Times New Roman" w:hAnsi="Times New Roman" w:cs="Times New Roman"/>
          <w:color w:val="000000"/>
          <w:sz w:val="21"/>
          <w:szCs w:val="21"/>
          <w:highlight w:val="none"/>
          <w:lang w:val="en-US" w:eastAsia="zh-CN"/>
        </w:rPr>
      </w:pPr>
    </w:p>
    <w:p w14:paraId="26C71054">
      <w:pPr>
        <w:spacing w:line="400" w:lineRule="exact"/>
        <w:ind w:firstLine="420" w:firstLineChars="200"/>
        <w:rPr>
          <w:rFonts w:hint="eastAsia" w:ascii="宋体" w:hAnsi="宋体"/>
          <w:color w:val="000000"/>
          <w:szCs w:val="21"/>
          <w:lang w:val="en-US" w:eastAsia="zh-CN"/>
        </w:rPr>
      </w:pPr>
    </w:p>
    <w:p w14:paraId="30564C9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C3D277"/>
    <w:multiLevelType w:val="singleLevel"/>
    <w:tmpl w:val="E6C3D27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623E3"/>
    <w:rsid w:val="08C37D6D"/>
    <w:rsid w:val="0A8C1565"/>
    <w:rsid w:val="0E4D368D"/>
    <w:rsid w:val="16CD208A"/>
    <w:rsid w:val="1DD24BFC"/>
    <w:rsid w:val="22D20787"/>
    <w:rsid w:val="26A74906"/>
    <w:rsid w:val="293D04D4"/>
    <w:rsid w:val="2C0915C6"/>
    <w:rsid w:val="31442AF1"/>
    <w:rsid w:val="3296737C"/>
    <w:rsid w:val="350B0DD9"/>
    <w:rsid w:val="37431210"/>
    <w:rsid w:val="39FE738E"/>
    <w:rsid w:val="3C630372"/>
    <w:rsid w:val="3FC91763"/>
    <w:rsid w:val="418807D8"/>
    <w:rsid w:val="423D7815"/>
    <w:rsid w:val="45A35BE1"/>
    <w:rsid w:val="4B850DD8"/>
    <w:rsid w:val="4F727AF5"/>
    <w:rsid w:val="568455BA"/>
    <w:rsid w:val="5958262F"/>
    <w:rsid w:val="5E1623E3"/>
    <w:rsid w:val="5FC8476A"/>
    <w:rsid w:val="5FFF4080"/>
    <w:rsid w:val="60291279"/>
    <w:rsid w:val="63E1651B"/>
    <w:rsid w:val="65736F26"/>
    <w:rsid w:val="77EE3990"/>
    <w:rsid w:val="7BFE568F"/>
    <w:rsid w:val="7EA97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192" w:beforeLines="80" w:after="192" w:afterLines="80"/>
      <w:jc w:val="center"/>
      <w:outlineLvl w:val="1"/>
    </w:pPr>
    <w:rPr>
      <w:rFonts w:ascii="等线 Light" w:hAnsi="等线 Light" w:eastAsia="黑体" w:cs="Times New Roman"/>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81"/>
    </w:pPr>
    <w:rPr>
      <w:rFonts w:ascii="宋体" w:hAnsi="宋体" w:eastAsia="宋体" w:cs="宋体"/>
      <w:sz w:val="28"/>
      <w:szCs w:val="28"/>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7256</Words>
  <Characters>7479</Characters>
  <Lines>0</Lines>
  <Paragraphs>0</Paragraphs>
  <TotalTime>0</TotalTime>
  <ScaleCrop>false</ScaleCrop>
  <LinksUpToDate>false</LinksUpToDate>
  <CharactersWithSpaces>7549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2025-04-07T04:55:00Z</dcterms:created>
  <dc:creator>我心飞翔</dc:creator>
  <cp:lastModifiedBy>李肖楠</cp:lastModifiedBy>
  <dcterms:modified xsi:type="dcterms:W3CDTF">2025-04-10T08:10:42Z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3AED720B190B4F32AAEA460A493422A5_11</vt:lpwstr>
  </property>
  <property fmtid="{D5CDD505-2E9C-101B-9397-08002B2CF9AE}" pid="4" name="KSOTemplateDocerSaveRecord">
    <vt:lpwstr>eyJoZGlkIjoiYzdiYTlmYzZlNDM5N2EyYjlmNTY5N2I4ZDEyZDE2NWUifQ==</vt:lpwstr>
  </property>
</Properties>
</file>