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Times New Roman"/>
          <w:color w:val="000000"/>
          <w:sz w:val="28"/>
          <w:szCs w:val="28"/>
        </w:rPr>
      </w:pPr>
    </w:p>
    <w:tbl>
      <w:tblPr>
        <w:tblStyle w:val="29"/>
        <w:tblW w:w="3880" w:type="dxa"/>
        <w:tblInd w:w="-1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rPr>
            </w:pPr>
            <w:r>
              <w:rPr>
                <w:rFonts w:ascii="Times New Roman" w:hAnsi="Times New Roman" w:eastAsia="楷体_GB2312" w:cs="Times New Roman"/>
                <w:color w:val="000000"/>
              </w:rPr>
              <w:t>批准立项年份</w:t>
            </w:r>
          </w:p>
        </w:tc>
        <w:tc>
          <w:tcPr>
            <w:tcW w:w="1800" w:type="dxa"/>
            <w:vAlign w:val="center"/>
          </w:tcPr>
          <w:p>
            <w:pPr>
              <w:snapToGrid w:val="0"/>
              <w:jc w:val="center"/>
              <w:rPr>
                <w:rFonts w:ascii="Times New Roman" w:hAnsi="Times New Roman" w:eastAsia="楷体_GB2312" w:cs="Times New Roman"/>
                <w:color w:val="000000"/>
              </w:rPr>
            </w:pPr>
            <w:r>
              <w:rPr>
                <w:rFonts w:ascii="Times New Roman" w:hAnsi="Times New Roman" w:eastAsia="楷体_GB2312" w:cs="Times New Roman"/>
                <w:color w:val="000000"/>
              </w:rPr>
              <w:t>2007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Ex>
        <w:trPr>
          <w:cantSplit/>
          <w:trHeight w:val="454" w:hRule="atLeast"/>
        </w:trPr>
        <w:tc>
          <w:tcPr>
            <w:tcW w:w="2080" w:type="dxa"/>
            <w:vAlign w:val="center"/>
          </w:tcPr>
          <w:p>
            <w:pPr>
              <w:snapToGrid w:val="0"/>
              <w:jc w:val="center"/>
              <w:rPr>
                <w:rFonts w:ascii="Times New Roman" w:hAnsi="Times New Roman" w:eastAsia="楷体_GB2312" w:cs="Times New Roman"/>
                <w:color w:val="000000"/>
              </w:rPr>
            </w:pPr>
            <w:r>
              <w:rPr>
                <w:rFonts w:ascii="Times New Roman" w:hAnsi="Times New Roman" w:eastAsia="楷体_GB2312" w:cs="Times New Roman"/>
                <w:color w:val="000000"/>
              </w:rPr>
              <w:t>通过验收年份</w:t>
            </w:r>
          </w:p>
        </w:tc>
        <w:tc>
          <w:tcPr>
            <w:tcW w:w="1800" w:type="dxa"/>
            <w:vAlign w:val="center"/>
          </w:tcPr>
          <w:p>
            <w:pPr>
              <w:snapToGrid w:val="0"/>
              <w:jc w:val="center"/>
              <w:rPr>
                <w:rFonts w:ascii="Times New Roman" w:hAnsi="Times New Roman" w:eastAsia="楷体_GB2312" w:cs="Times New Roman"/>
                <w:color w:val="000000"/>
              </w:rPr>
            </w:pPr>
            <w:r>
              <w:rPr>
                <w:rFonts w:ascii="Times New Roman" w:hAnsi="Times New Roman" w:eastAsia="楷体_GB2312" w:cs="Times New Roman"/>
                <w:color w:val="000000"/>
              </w:rPr>
              <w:t>2012</w:t>
            </w:r>
          </w:p>
        </w:tc>
      </w:tr>
    </w:tbl>
    <w:p>
      <w:pPr>
        <w:rPr>
          <w:rFonts w:ascii="Times New Roman" w:hAnsi="Times New Roman" w:eastAsia="楷体_GB2312" w:cs="Times New Roman"/>
          <w:color w:val="000000"/>
          <w:sz w:val="28"/>
          <w:szCs w:val="28"/>
        </w:rPr>
      </w:pPr>
    </w:p>
    <w:p>
      <w:pPr>
        <w:rPr>
          <w:rFonts w:ascii="Times New Roman" w:hAnsi="Times New Roman" w:eastAsia="楷体_GB2312" w:cs="Times New Roman"/>
          <w:color w:val="000000"/>
          <w:sz w:val="28"/>
          <w:szCs w:val="28"/>
        </w:rPr>
      </w:pPr>
    </w:p>
    <w:p>
      <w:pPr>
        <w:rPr>
          <w:rFonts w:ascii="Times New Roman" w:hAnsi="Times New Roman" w:eastAsia="楷体_GB2312" w:cs="Times New Roman"/>
          <w:color w:val="000000"/>
          <w:sz w:val="28"/>
          <w:szCs w:val="28"/>
        </w:rPr>
      </w:pPr>
    </w:p>
    <w:p>
      <w:pPr>
        <w:jc w:val="center"/>
        <w:rPr>
          <w:rFonts w:ascii="Times New Roman" w:hAnsi="Times New Roman" w:eastAsia="楷体_GB2312" w:cs="Times New Roman"/>
          <w:color w:val="000000"/>
          <w:sz w:val="28"/>
          <w:szCs w:val="28"/>
        </w:rPr>
      </w:pPr>
      <w:r>
        <w:rPr>
          <w:rFonts w:ascii="Times New Roman" w:hAnsi="Times New Roman" w:eastAsia="黑体" w:cs="Times New Roman"/>
          <w:bCs/>
          <w:color w:val="000000"/>
          <w:sz w:val="44"/>
          <w:szCs w:val="44"/>
        </w:rPr>
        <w:t>国家级实验教学示范中心年度报告</w:t>
      </w:r>
    </w:p>
    <w:p>
      <w:pPr>
        <w:spacing w:before="312" w:beforeLines="100"/>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（201</w:t>
      </w:r>
      <w:r>
        <w:rPr>
          <w:rFonts w:hint="eastAsia" w:ascii="Times New Roman" w:hAnsi="Times New Roman" w:eastAsia="楷体_GB2312" w:cs="Times New Roman"/>
          <w:color w:val="000000"/>
          <w:sz w:val="28"/>
          <w:szCs w:val="28"/>
        </w:rPr>
        <w:t>8</w:t>
      </w:r>
      <w:r>
        <w:rPr>
          <w:rFonts w:ascii="Times New Roman" w:hAnsi="Times New Roman" w:eastAsia="楷体_GB2312" w:cs="Times New Roman"/>
          <w:color w:val="000000"/>
          <w:sz w:val="28"/>
          <w:szCs w:val="28"/>
        </w:rPr>
        <w:t>年1月—201</w:t>
      </w:r>
      <w:r>
        <w:rPr>
          <w:rFonts w:hint="eastAsia" w:ascii="Times New Roman" w:hAnsi="Times New Roman" w:eastAsia="楷体_GB2312" w:cs="Times New Roman"/>
          <w:color w:val="000000"/>
          <w:sz w:val="28"/>
          <w:szCs w:val="28"/>
        </w:rPr>
        <w:t>8</w:t>
      </w:r>
      <w:r>
        <w:rPr>
          <w:rFonts w:ascii="Times New Roman" w:hAnsi="Times New Roman" w:eastAsia="楷体_GB2312" w:cs="Times New Roman"/>
          <w:color w:val="000000"/>
          <w:sz w:val="28"/>
          <w:szCs w:val="28"/>
        </w:rPr>
        <w:t>年12月）</w:t>
      </w:r>
    </w:p>
    <w:p>
      <w:pPr>
        <w:rPr>
          <w:rFonts w:ascii="Times New Roman" w:hAnsi="Times New Roman" w:eastAsia="楷体_GB2312" w:cs="Times New Roman"/>
          <w:color w:val="000000"/>
          <w:sz w:val="18"/>
          <w:szCs w:val="18"/>
        </w:rPr>
      </w:pPr>
    </w:p>
    <w:p>
      <w:pPr>
        <w:rPr>
          <w:rFonts w:ascii="Times New Roman" w:hAnsi="Times New Roman" w:eastAsia="楷体_GB2312" w:cs="Times New Roman"/>
          <w:color w:val="000000"/>
          <w:sz w:val="18"/>
          <w:szCs w:val="18"/>
        </w:rPr>
      </w:pPr>
    </w:p>
    <w:p>
      <w:pPr>
        <w:rPr>
          <w:rFonts w:ascii="Times New Roman" w:hAnsi="Times New Roman" w:eastAsia="楷体_GB2312" w:cs="Times New Roman"/>
          <w:color w:val="000000"/>
          <w:sz w:val="18"/>
          <w:szCs w:val="18"/>
        </w:rPr>
      </w:pPr>
    </w:p>
    <w:p>
      <w:pPr>
        <w:rPr>
          <w:rFonts w:ascii="Times New Roman" w:hAnsi="Times New Roman" w:eastAsia="楷体_GB2312" w:cs="Times New Roman"/>
          <w:b/>
          <w:bCs/>
          <w:color w:val="000000"/>
          <w:sz w:val="18"/>
          <w:szCs w:val="18"/>
        </w:rPr>
      </w:pPr>
    </w:p>
    <w:p>
      <w:pPr>
        <w:rPr>
          <w:rFonts w:ascii="Times New Roman" w:hAnsi="Times New Roman" w:eastAsia="楷体_GB2312" w:cs="Times New Roman"/>
          <w:b/>
          <w:bCs/>
          <w:color w:val="000000"/>
          <w:sz w:val="18"/>
          <w:szCs w:val="18"/>
        </w:rPr>
      </w:pPr>
    </w:p>
    <w:p>
      <w:pPr>
        <w:spacing w:line="680" w:lineRule="exact"/>
        <w:ind w:left="490" w:leftChars="204"/>
        <w:rPr>
          <w:rFonts w:ascii="Times New Roman" w:hAnsi="Times New Roman" w:eastAsia="楷体_GB2312" w:cs="Times New Roman"/>
          <w:b/>
          <w:bCs/>
          <w:color w:val="000000"/>
          <w:sz w:val="28"/>
          <w:szCs w:val="28"/>
        </w:rPr>
      </w:pPr>
      <w:r>
        <w:rPr>
          <w:rFonts w:ascii="Times New Roman" w:hAnsi="Times New Roman" w:eastAsia="楷体_GB2312" w:cs="Times New Roman"/>
          <w:b/>
          <w:bCs/>
          <w:color w:val="000000"/>
          <w:sz w:val="28"/>
          <w:szCs w:val="28"/>
        </w:rPr>
        <w:t>实验教学中心名称：</w:t>
      </w:r>
      <w:r>
        <w:rPr>
          <w:rFonts w:ascii="Times New Roman" w:hAnsi="Times New Roman" w:eastAsia="楷体_GB2312" w:cs="Times New Roman"/>
          <w:bCs/>
          <w:color w:val="000000"/>
          <w:sz w:val="28"/>
          <w:szCs w:val="28"/>
          <w:u w:val="single"/>
        </w:rPr>
        <w:t>动物科学</w:t>
      </w:r>
      <w:r>
        <w:rPr>
          <w:rFonts w:hint="eastAsia" w:ascii="Times New Roman" w:hAnsi="Times New Roman" w:eastAsia="楷体_GB2312" w:cs="Times New Roman"/>
          <w:bCs/>
          <w:color w:val="000000"/>
          <w:sz w:val="28"/>
          <w:szCs w:val="28"/>
          <w:u w:val="single"/>
        </w:rPr>
        <w:t>国家级</w:t>
      </w:r>
      <w:r>
        <w:rPr>
          <w:rFonts w:ascii="Times New Roman" w:hAnsi="Times New Roman" w:eastAsia="楷体_GB2312" w:cs="Times New Roman"/>
          <w:bCs/>
          <w:color w:val="000000"/>
          <w:sz w:val="28"/>
          <w:szCs w:val="28"/>
          <w:u w:val="single"/>
        </w:rPr>
        <w:t>实验教学</w:t>
      </w:r>
      <w:r>
        <w:rPr>
          <w:rFonts w:hint="eastAsia" w:ascii="Times New Roman" w:hAnsi="Times New Roman" w:eastAsia="楷体_GB2312" w:cs="Times New Roman"/>
          <w:bCs/>
          <w:color w:val="000000"/>
          <w:sz w:val="28"/>
          <w:szCs w:val="28"/>
          <w:u w:val="single"/>
        </w:rPr>
        <w:t>示范</w:t>
      </w:r>
      <w:r>
        <w:rPr>
          <w:rFonts w:ascii="Times New Roman" w:hAnsi="Times New Roman" w:eastAsia="楷体_GB2312" w:cs="Times New Roman"/>
          <w:bCs/>
          <w:color w:val="000000"/>
          <w:sz w:val="28"/>
          <w:szCs w:val="28"/>
          <w:u w:val="single"/>
        </w:rPr>
        <w:t>中心</w:t>
      </w:r>
      <w:r>
        <w:rPr>
          <w:rFonts w:hint="eastAsia" w:ascii="Times New Roman" w:hAnsi="Times New Roman" w:eastAsia="楷体_GB2312" w:cs="Times New Roman"/>
          <w:bCs/>
          <w:color w:val="000000"/>
          <w:sz w:val="28"/>
          <w:szCs w:val="28"/>
          <w:u w:val="single"/>
        </w:rPr>
        <w:t xml:space="preserve"> </w:t>
      </w:r>
    </w:p>
    <w:p>
      <w:pPr>
        <w:spacing w:line="680" w:lineRule="exact"/>
        <w:ind w:left="490" w:leftChars="204"/>
        <w:rPr>
          <w:rFonts w:ascii="Times New Roman" w:hAnsi="Times New Roman" w:eastAsia="楷体_GB2312" w:cs="Times New Roman"/>
          <w:b/>
          <w:bCs/>
          <w:color w:val="000000"/>
          <w:sz w:val="28"/>
          <w:szCs w:val="28"/>
        </w:rPr>
      </w:pPr>
      <w:r>
        <w:rPr>
          <w:rFonts w:ascii="Times New Roman" w:hAnsi="Times New Roman" w:eastAsia="楷体_GB2312" w:cs="Times New Roman"/>
          <w:b/>
          <w:bCs/>
          <w:color w:val="000000"/>
          <w:sz w:val="28"/>
          <w:szCs w:val="28"/>
        </w:rPr>
        <w:t>实验教学中心主任：</w:t>
      </w:r>
      <w:r>
        <w:rPr>
          <w:rFonts w:hint="eastAsia" w:ascii="Times New Roman" w:hAnsi="Times New Roman" w:eastAsia="楷体_GB2312" w:cs="Times New Roman"/>
          <w:bCs/>
          <w:color w:val="000000"/>
          <w:sz w:val="28"/>
          <w:szCs w:val="28"/>
          <w:u w:val="single"/>
        </w:rPr>
        <w:t xml:space="preserve">            姚军虎           </w:t>
      </w:r>
      <w:r>
        <w:rPr>
          <w:rFonts w:ascii="Times New Roman" w:hAnsi="Times New Roman" w:eastAsia="楷体_GB2312" w:cs="Times New Roman"/>
          <w:bCs/>
          <w:color w:val="000000"/>
          <w:sz w:val="28"/>
          <w:szCs w:val="28"/>
          <w:u w:val="single"/>
        </w:rPr>
        <w:t xml:space="preserve"> </w:t>
      </w:r>
      <w:r>
        <w:rPr>
          <w:rFonts w:hint="eastAsia" w:ascii="Times New Roman" w:hAnsi="Times New Roman" w:eastAsia="楷体_GB2312" w:cs="Times New Roman"/>
          <w:bCs/>
          <w:color w:val="000000"/>
          <w:sz w:val="28"/>
          <w:szCs w:val="28"/>
          <w:u w:val="single"/>
        </w:rPr>
        <w:t xml:space="preserve"> </w:t>
      </w:r>
    </w:p>
    <w:p>
      <w:pPr>
        <w:spacing w:line="680" w:lineRule="exact"/>
        <w:ind w:left="490" w:leftChars="204"/>
        <w:rPr>
          <w:rFonts w:ascii="Times New Roman" w:hAnsi="Times New Roman" w:eastAsia="楷体_GB2312" w:cs="Times New Roman"/>
          <w:b/>
          <w:bCs/>
          <w:color w:val="000000"/>
          <w:sz w:val="28"/>
          <w:szCs w:val="28"/>
        </w:rPr>
      </w:pPr>
      <w:r>
        <w:rPr>
          <w:rFonts w:ascii="Times New Roman" w:hAnsi="Times New Roman" w:eastAsia="楷体_GB2312" w:cs="Times New Roman"/>
          <w:b/>
          <w:bCs/>
          <w:color w:val="000000"/>
          <w:sz w:val="28"/>
          <w:szCs w:val="28"/>
        </w:rPr>
        <w:t>实验教学中心联系人/联系电话：</w:t>
      </w:r>
      <w:r>
        <w:rPr>
          <w:rFonts w:ascii="Times New Roman" w:hAnsi="Times New Roman" w:eastAsia="楷体_GB2312" w:cs="Times New Roman"/>
          <w:bCs/>
          <w:color w:val="000000"/>
          <w:sz w:val="28"/>
          <w:szCs w:val="28"/>
          <w:u w:val="single"/>
        </w:rPr>
        <w:t xml:space="preserve">孙超/029-87092158    </w:t>
      </w:r>
    </w:p>
    <w:p>
      <w:pPr>
        <w:spacing w:line="680" w:lineRule="exact"/>
        <w:ind w:left="490" w:leftChars="204"/>
        <w:rPr>
          <w:rFonts w:ascii="Times New Roman" w:hAnsi="Times New Roman" w:cs="Times New Roman"/>
          <w:b/>
          <w:bCs/>
          <w:color w:val="000000"/>
          <w:sz w:val="28"/>
          <w:szCs w:val="28"/>
          <w:u w:val="single"/>
        </w:rPr>
      </w:pPr>
      <w:r>
        <w:rPr>
          <w:rFonts w:ascii="Times New Roman" w:hAnsi="Times New Roman" w:eastAsia="楷体_GB2312" w:cs="Times New Roman"/>
          <w:b/>
          <w:bCs/>
          <w:color w:val="000000"/>
          <w:sz w:val="28"/>
          <w:szCs w:val="28"/>
        </w:rPr>
        <w:t>实验教学中心联系人电子邮箱：</w:t>
      </w:r>
      <w:r>
        <w:fldChar w:fldCharType="begin"/>
      </w:r>
      <w:r>
        <w:instrText xml:space="preserve"> HYPERLINK "mailto:sunchao2775@163.com" </w:instrText>
      </w:r>
      <w:r>
        <w:fldChar w:fldCharType="separate"/>
      </w:r>
      <w:r>
        <w:rPr>
          <w:rStyle w:val="27"/>
          <w:color w:val="000000"/>
          <w:u w:val="single"/>
        </w:rPr>
        <w:t>sunchao2775@163.com</w:t>
      </w:r>
      <w:r>
        <w:rPr>
          <w:rStyle w:val="27"/>
          <w:color w:val="000000"/>
          <w:u w:val="single"/>
        </w:rPr>
        <w:fldChar w:fldCharType="end"/>
      </w:r>
      <w:r>
        <w:rPr>
          <w:rStyle w:val="27"/>
          <w:rFonts w:hint="eastAsia"/>
          <w:color w:val="000000"/>
          <w:u w:val="single"/>
        </w:rPr>
        <w:t xml:space="preserve">  </w:t>
      </w:r>
      <w:r>
        <w:rPr>
          <w:rStyle w:val="27"/>
          <w:color w:val="000000"/>
          <w:u w:val="single"/>
        </w:rPr>
        <w:t xml:space="preserve"> </w:t>
      </w:r>
      <w:r>
        <w:rPr>
          <w:rStyle w:val="27"/>
          <w:rFonts w:hint="eastAsia"/>
          <w:color w:val="000000"/>
          <w:u w:val="single"/>
        </w:rPr>
        <w:t xml:space="preserve"> </w:t>
      </w:r>
    </w:p>
    <w:p>
      <w:pPr>
        <w:spacing w:line="680" w:lineRule="exact"/>
        <w:ind w:left="490" w:leftChars="204"/>
        <w:rPr>
          <w:rFonts w:ascii="Times New Roman" w:hAnsi="Times New Roman" w:eastAsia="楷体_GB2312" w:cs="Times New Roman"/>
          <w:b/>
          <w:bCs/>
          <w:color w:val="000000"/>
          <w:sz w:val="28"/>
          <w:szCs w:val="28"/>
          <w:u w:val="single"/>
        </w:rPr>
      </w:pPr>
      <w:r>
        <w:rPr>
          <w:rFonts w:ascii="Times New Roman" w:hAnsi="Times New Roman" w:eastAsia="楷体_GB2312" w:cs="Times New Roman"/>
          <w:b/>
          <w:bCs/>
          <w:color w:val="000000"/>
          <w:sz w:val="28"/>
          <w:szCs w:val="28"/>
        </w:rPr>
        <w:t>所在学校名称：</w:t>
      </w:r>
      <w:r>
        <w:rPr>
          <w:rFonts w:hint="eastAsia" w:ascii="Times New Roman" w:hAnsi="Times New Roman" w:eastAsia="楷体_GB2312" w:cs="Times New Roman"/>
          <w:bCs/>
          <w:color w:val="000000"/>
          <w:sz w:val="28"/>
          <w:szCs w:val="28"/>
          <w:u w:val="single"/>
        </w:rPr>
        <w:t xml:space="preserve">          </w:t>
      </w:r>
      <w:r>
        <w:rPr>
          <w:rFonts w:ascii="Times New Roman" w:hAnsi="Times New Roman" w:eastAsia="楷体_GB2312" w:cs="Times New Roman"/>
          <w:bCs/>
          <w:color w:val="000000"/>
          <w:sz w:val="28"/>
          <w:szCs w:val="28"/>
          <w:u w:val="single"/>
        </w:rPr>
        <w:t>西北农林科技大学</w:t>
      </w:r>
      <w:r>
        <w:rPr>
          <w:rFonts w:hint="eastAsia" w:ascii="Times New Roman" w:hAnsi="Times New Roman" w:eastAsia="楷体_GB2312" w:cs="Times New Roman"/>
          <w:bCs/>
          <w:color w:val="000000"/>
          <w:sz w:val="28"/>
          <w:szCs w:val="28"/>
          <w:u w:val="single"/>
        </w:rPr>
        <w:t xml:space="preserve">      </w:t>
      </w:r>
      <w:r>
        <w:rPr>
          <w:rFonts w:ascii="Times New Roman" w:hAnsi="Times New Roman" w:eastAsia="楷体_GB2312" w:cs="Times New Roman"/>
          <w:bCs/>
          <w:color w:val="000000"/>
          <w:sz w:val="28"/>
          <w:szCs w:val="28"/>
          <w:u w:val="single"/>
        </w:rPr>
        <w:t xml:space="preserve"> </w:t>
      </w:r>
      <w:r>
        <w:rPr>
          <w:rFonts w:hint="eastAsia" w:ascii="Times New Roman" w:hAnsi="Times New Roman" w:eastAsia="楷体_GB2312" w:cs="Times New Roman"/>
          <w:bCs/>
          <w:color w:val="000000"/>
          <w:sz w:val="28"/>
          <w:szCs w:val="28"/>
          <w:u w:val="single"/>
        </w:rPr>
        <w:t xml:space="preserve"> </w:t>
      </w:r>
    </w:p>
    <w:p>
      <w:pPr>
        <w:spacing w:line="680" w:lineRule="exact"/>
        <w:ind w:left="490" w:leftChars="204"/>
        <w:rPr>
          <w:rFonts w:ascii="Times New Roman" w:hAnsi="Times New Roman" w:eastAsia="楷体_GB2312" w:cs="Times New Roman"/>
          <w:b/>
          <w:bCs/>
          <w:color w:val="000000"/>
          <w:sz w:val="28"/>
          <w:szCs w:val="28"/>
          <w:u w:val="single"/>
        </w:rPr>
      </w:pPr>
      <w:r>
        <w:rPr>
          <w:rFonts w:ascii="Times New Roman" w:hAnsi="Times New Roman" w:eastAsia="楷体_GB2312" w:cs="Times New Roman"/>
          <w:b/>
          <w:bCs/>
          <w:color w:val="000000"/>
          <w:sz w:val="28"/>
          <w:szCs w:val="28"/>
        </w:rPr>
        <w:t>所在学校联系人/联系电话：</w:t>
      </w:r>
      <w:r>
        <w:rPr>
          <w:rFonts w:hint="eastAsia" w:ascii="Times New Roman" w:hAnsi="Times New Roman" w:eastAsia="楷体_GB2312" w:cs="Times New Roman"/>
          <w:bCs/>
          <w:color w:val="000000"/>
          <w:sz w:val="28"/>
          <w:szCs w:val="28"/>
          <w:u w:val="single"/>
        </w:rPr>
        <w:t xml:space="preserve">   卢涛</w:t>
      </w:r>
      <w:r>
        <w:rPr>
          <w:rFonts w:ascii="Times New Roman" w:hAnsi="Times New Roman" w:eastAsia="楷体_GB2312" w:cs="Times New Roman"/>
          <w:bCs/>
          <w:color w:val="000000"/>
          <w:sz w:val="28"/>
          <w:szCs w:val="28"/>
          <w:u w:val="single"/>
        </w:rPr>
        <w:t>/029</w:t>
      </w:r>
      <w:r>
        <w:rPr>
          <w:rFonts w:hint="eastAsia" w:ascii="Times New Roman" w:hAnsi="Times New Roman" w:eastAsia="楷体_GB2312" w:cs="Times New Roman"/>
          <w:bCs/>
          <w:color w:val="000000"/>
          <w:sz w:val="28"/>
          <w:szCs w:val="28"/>
          <w:u w:val="single"/>
        </w:rPr>
        <w:t>-</w:t>
      </w:r>
      <w:r>
        <w:rPr>
          <w:rFonts w:ascii="Times New Roman" w:hAnsi="Times New Roman" w:eastAsia="楷体_GB2312" w:cs="Times New Roman"/>
          <w:bCs/>
          <w:color w:val="000000"/>
          <w:sz w:val="28"/>
          <w:szCs w:val="28"/>
          <w:u w:val="single"/>
        </w:rPr>
        <w:t>870922</w:t>
      </w:r>
      <w:r>
        <w:rPr>
          <w:rFonts w:hint="eastAsia" w:ascii="Times New Roman" w:hAnsi="Times New Roman" w:eastAsia="楷体_GB2312" w:cs="Times New Roman"/>
          <w:bCs/>
          <w:color w:val="000000"/>
          <w:sz w:val="28"/>
          <w:szCs w:val="28"/>
          <w:u w:val="single"/>
        </w:rPr>
        <w:t>4</w:t>
      </w:r>
      <w:r>
        <w:rPr>
          <w:rFonts w:ascii="Times New Roman" w:hAnsi="Times New Roman" w:eastAsia="楷体_GB2312" w:cs="Times New Roman"/>
          <w:bCs/>
          <w:color w:val="000000"/>
          <w:sz w:val="28"/>
          <w:szCs w:val="28"/>
          <w:u w:val="single"/>
        </w:rPr>
        <w:t xml:space="preserve">7    </w:t>
      </w:r>
    </w:p>
    <w:p>
      <w:pPr>
        <w:jc w:val="center"/>
        <w:rPr>
          <w:rFonts w:ascii="Times New Roman" w:hAnsi="Times New Roman" w:eastAsia="楷体_GB2312" w:cs="Times New Roman"/>
          <w:color w:val="000000"/>
          <w:sz w:val="15"/>
          <w:szCs w:val="15"/>
        </w:rPr>
      </w:pPr>
    </w:p>
    <w:p>
      <w:pPr>
        <w:jc w:val="center"/>
        <w:rPr>
          <w:rFonts w:ascii="Times New Roman" w:hAnsi="Times New Roman" w:eastAsia="楷体_GB2312" w:cs="Times New Roman"/>
          <w:color w:val="000000"/>
          <w:sz w:val="15"/>
          <w:szCs w:val="15"/>
        </w:rPr>
      </w:pPr>
    </w:p>
    <w:p>
      <w:pPr>
        <w:jc w:val="center"/>
        <w:rPr>
          <w:rFonts w:ascii="Times New Roman" w:hAnsi="Times New Roman" w:eastAsia="楷体_GB2312" w:cs="Times New Roman"/>
          <w:color w:val="000000"/>
          <w:sz w:val="15"/>
          <w:szCs w:val="15"/>
        </w:rPr>
      </w:pPr>
    </w:p>
    <w:p>
      <w:pPr>
        <w:jc w:val="center"/>
        <w:rPr>
          <w:rFonts w:ascii="Times New Roman" w:hAnsi="Times New Roman" w:eastAsia="楷体_GB2312" w:cs="Times New Roman"/>
          <w:color w:val="000000"/>
          <w:sz w:val="15"/>
          <w:szCs w:val="15"/>
        </w:rPr>
      </w:pPr>
    </w:p>
    <w:p>
      <w:pPr>
        <w:jc w:val="center"/>
        <w:rPr>
          <w:rFonts w:ascii="Times New Roman" w:hAnsi="Times New Roman" w:eastAsia="楷体_GB2312" w:cs="Times New Roman"/>
          <w:color w:val="000000"/>
          <w:sz w:val="15"/>
          <w:szCs w:val="15"/>
        </w:rPr>
      </w:pPr>
    </w:p>
    <w:p>
      <w:pPr>
        <w:jc w:val="center"/>
        <w:rPr>
          <w:rFonts w:ascii="Times New Roman" w:hAnsi="Times New Roman" w:eastAsia="楷体_GB2312" w:cs="Times New Roman"/>
          <w:color w:val="000000"/>
          <w:sz w:val="28"/>
        </w:rPr>
      </w:pPr>
      <w:r>
        <w:rPr>
          <w:rFonts w:ascii="Times New Roman" w:hAnsi="Times New Roman" w:eastAsia="楷体_GB2312" w:cs="Times New Roman"/>
          <w:color w:val="000000"/>
          <w:sz w:val="28"/>
        </w:rPr>
        <w:t>201</w:t>
      </w:r>
      <w:r>
        <w:rPr>
          <w:rFonts w:hint="eastAsia" w:ascii="Times New Roman" w:hAnsi="Times New Roman" w:eastAsia="楷体_GB2312" w:cs="Times New Roman"/>
          <w:color w:val="000000"/>
          <w:sz w:val="28"/>
        </w:rPr>
        <w:t>9</w:t>
      </w:r>
      <w:r>
        <w:rPr>
          <w:rFonts w:ascii="Times New Roman" w:hAnsi="Times New Roman" w:eastAsia="楷体_GB2312" w:cs="Times New Roman"/>
          <w:color w:val="000000"/>
          <w:sz w:val="28"/>
        </w:rPr>
        <w:t>年1月1</w:t>
      </w:r>
      <w:r>
        <w:rPr>
          <w:rFonts w:hint="eastAsia" w:ascii="Times New Roman" w:hAnsi="Times New Roman" w:eastAsia="楷体_GB2312" w:cs="Times New Roman"/>
          <w:color w:val="000000"/>
          <w:sz w:val="28"/>
        </w:rPr>
        <w:t>2</w:t>
      </w:r>
      <w:r>
        <w:rPr>
          <w:rFonts w:ascii="Times New Roman" w:hAnsi="Times New Roman" w:eastAsia="楷体_GB2312" w:cs="Times New Roman"/>
          <w:color w:val="000000"/>
          <w:sz w:val="28"/>
        </w:rPr>
        <w:t>日填报</w:t>
      </w:r>
    </w:p>
    <w:p>
      <w:pPr>
        <w:widowControl/>
        <w:jc w:val="left"/>
        <w:rPr>
          <w:rFonts w:ascii="Times New Roman" w:hAnsi="Times New Roman" w:eastAsia="楷体_GB2312" w:cs="Times New Roman"/>
          <w:color w:val="000000"/>
          <w:sz w:val="28"/>
        </w:rPr>
      </w:pPr>
      <w:r>
        <w:rPr>
          <w:rFonts w:ascii="Times New Roman" w:hAnsi="Times New Roman" w:eastAsia="楷体_GB2312" w:cs="Times New Roman"/>
          <w:color w:val="000000"/>
          <w:sz w:val="28"/>
        </w:rPr>
        <w:br w:type="page"/>
      </w:r>
    </w:p>
    <w:p>
      <w:pPr>
        <w:widowControl/>
        <w:jc w:val="left"/>
        <w:rPr>
          <w:rFonts w:ascii="Times New Roman" w:hAnsi="Times New Roman" w:eastAsia="楷体_GB2312" w:cs="Times New Roman"/>
          <w:color w:val="000000"/>
          <w:sz w:val="28"/>
        </w:rPr>
      </w:pPr>
    </w:p>
    <w:p>
      <w:pPr>
        <w:widowControl/>
        <w:rPr>
          <w:rFonts w:ascii="Times New Roman" w:hAnsi="Times New Roman" w:eastAsia="楷体_GB2312" w:cs="Times New Roman"/>
          <w:color w:val="000000"/>
          <w:sz w:val="28"/>
        </w:rPr>
        <w:sectPr>
          <w:pgSz w:w="11900" w:h="16840"/>
          <w:pgMar w:top="1588" w:right="1644" w:bottom="1440" w:left="1588" w:header="851" w:footer="992" w:gutter="0"/>
          <w:pgNumType w:start="1"/>
          <w:cols w:space="720" w:num="1"/>
          <w:docGrid w:type="lines" w:linePitch="312" w:charSpace="0"/>
        </w:sectPr>
      </w:pPr>
    </w:p>
    <w:p>
      <w:pPr>
        <w:widowControl/>
        <w:jc w:val="center"/>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第一部分</w:t>
      </w:r>
      <w:r>
        <w:rPr>
          <w:rFonts w:hint="eastAsia" w:ascii="Times New Roman" w:hAnsi="Times New Roman" w:eastAsia="黑体" w:cs="Times New Roman"/>
          <w:color w:val="000000"/>
          <w:sz w:val="32"/>
          <w:szCs w:val="32"/>
        </w:rPr>
        <w:t xml:space="preserve">  2018</w:t>
      </w:r>
      <w:r>
        <w:rPr>
          <w:rFonts w:ascii="Times New Roman" w:hAnsi="Times New Roman" w:eastAsia="黑体" w:cs="Times New Roman"/>
          <w:color w:val="000000"/>
          <w:sz w:val="32"/>
          <w:szCs w:val="32"/>
        </w:rPr>
        <w:t>年度报告</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动物科学国家级实验教学示范中心可追溯至1936年的</w:t>
      </w:r>
      <w:r>
        <w:rPr>
          <w:rFonts w:hint="eastAsia" w:ascii="Times New Roman" w:hAnsi="Times New Roman" w:eastAsia="楷体" w:cs="Times New Roman"/>
          <w:sz w:val="28"/>
          <w:szCs w:val="28"/>
        </w:rPr>
        <w:t>西北农学院畜牧养殖场</w:t>
      </w:r>
      <w:r>
        <w:rPr>
          <w:rFonts w:hint="eastAsia" w:ascii="Times New Roman" w:hAnsi="Times New Roman" w:eastAsia="楷体" w:cs="Times New Roman"/>
          <w:color w:val="000000"/>
          <w:sz w:val="28"/>
          <w:szCs w:val="28"/>
        </w:rPr>
        <w:t>，距今已有80多年历史。1999年组建“动物科学实验教学中心”，2007年11月获批国家级实验教学示范中心建设单位，2012年正式通过验收。中心依托动物科技学院和动物医学院两个学院，按照“分设、统管、共享、开放”建设与管理原则，设立7个功能实验室46个分实验室，5个共享开放学科科研创新平台，7大校内实践教学平台，支撑10个本科专业实验实践教学、科研创新与技术服务功能。</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一、人才培养工作和成效</w:t>
      </w:r>
    </w:p>
    <w:p>
      <w:pPr>
        <w:rPr>
          <w:rFonts w:ascii="Times New Roman" w:hAnsi="Times New Roman" w:eastAsia="黑体" w:cs="Times New Roman"/>
          <w:color w:val="000000"/>
          <w:sz w:val="28"/>
          <w:szCs w:val="28"/>
        </w:rPr>
      </w:pPr>
      <w:r>
        <w:rPr>
          <w:rFonts w:ascii="Times New Roman" w:hAnsi="Times New Roman" w:eastAsia="楷体" w:cs="Times New Roman"/>
          <w:b/>
          <w:color w:val="000000"/>
          <w:sz w:val="28"/>
          <w:szCs w:val="28"/>
        </w:rPr>
        <w:t>（一）人才培养基本情况</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1.</w:t>
      </w:r>
      <w:r>
        <w:rPr>
          <w:rFonts w:hint="eastAsia" w:ascii="Times New Roman" w:hAnsi="Times New Roman" w:eastAsia="楷体" w:cs="Times New Roman"/>
          <w:b/>
          <w:color w:val="000000"/>
          <w:sz w:val="28"/>
          <w:szCs w:val="28"/>
        </w:rPr>
        <w:t>本科实验教学</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2018年在</w:t>
      </w: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完成本科毕业论文实验并顺利通过答辩的本科生409名；独立开设实验课19门，面向全校10个专业2800名学生开设363个实验项目共511376人</w:t>
      </w:r>
      <w:r>
        <w:rPr>
          <w:rFonts w:hint="eastAsia" w:ascii="楷体" w:hAnsi="楷体" w:eastAsia="楷体" w:cs="Times New Roman"/>
          <w:color w:val="000000"/>
          <w:sz w:val="28"/>
          <w:szCs w:val="28"/>
        </w:rPr>
        <w:t>/</w:t>
      </w:r>
      <w:r>
        <w:rPr>
          <w:rFonts w:hint="eastAsia" w:ascii="Times New Roman" w:hAnsi="Times New Roman" w:eastAsia="楷体" w:cs="Times New Roman"/>
          <w:color w:val="000000"/>
          <w:sz w:val="28"/>
          <w:szCs w:val="28"/>
        </w:rPr>
        <w:t>学时；</w:t>
      </w:r>
      <w:bookmarkStart w:id="0" w:name="OLE_LINK1"/>
      <w:r>
        <w:rPr>
          <w:rFonts w:hint="eastAsia" w:ascii="Times New Roman" w:hAnsi="Times New Roman" w:eastAsia="楷体" w:cs="Times New Roman"/>
          <w:color w:val="000000"/>
          <w:sz w:val="28"/>
          <w:szCs w:val="28"/>
        </w:rPr>
        <w:t>依托中心完成创新创业项目57项（结题），本科生发表学术</w:t>
      </w:r>
      <w:r>
        <w:rPr>
          <w:rFonts w:hint="eastAsia" w:ascii="Times New Roman" w:hAnsi="Times New Roman" w:eastAsia="楷体" w:cs="Times New Roman"/>
          <w:sz w:val="28"/>
          <w:szCs w:val="28"/>
        </w:rPr>
        <w:t>论文86篇，其中SCI论文31篇，授</w:t>
      </w:r>
      <w:r>
        <w:rPr>
          <w:rFonts w:hint="eastAsia" w:ascii="Times New Roman" w:hAnsi="Times New Roman" w:eastAsia="楷体" w:cs="Times New Roman"/>
          <w:color w:val="000000"/>
          <w:sz w:val="28"/>
          <w:szCs w:val="28"/>
        </w:rPr>
        <w:t>权专利1项。</w:t>
      </w:r>
      <w:bookmarkEnd w:id="0"/>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2.</w:t>
      </w:r>
      <w:r>
        <w:rPr>
          <w:rFonts w:hint="eastAsia" w:ascii="Times New Roman" w:hAnsi="Times New Roman" w:eastAsia="楷体" w:cs="Times New Roman"/>
          <w:b/>
          <w:color w:val="000000"/>
          <w:sz w:val="28"/>
          <w:szCs w:val="28"/>
        </w:rPr>
        <w:t>大学生创新创业和学科竞赛</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2018</w:t>
      </w:r>
      <w:r>
        <w:rPr>
          <w:rFonts w:hint="eastAsia" w:ascii="Times New Roman" w:hAnsi="Times New Roman" w:eastAsia="楷体" w:cs="Times New Roman"/>
          <w:color w:val="000000"/>
          <w:sz w:val="28"/>
          <w:szCs w:val="28"/>
        </w:rPr>
        <w:t>年分别获批国家级、省级、校重点大学生科创项目12项、18项和7项。中心自筹经费20万元，资助校一般科创项目60项。</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中心成功举办“第五届生泰尔杯全国大学生动物医学专业技能大赛”和</w:t>
      </w:r>
      <w:r>
        <w:rPr>
          <w:rFonts w:ascii="Times New Roman" w:hAnsi="Times New Roman" w:eastAsia="楷体" w:cs="Times New Roman"/>
          <w:color w:val="000000"/>
          <w:sz w:val="28"/>
          <w:szCs w:val="28"/>
        </w:rPr>
        <w:t>“第四届雄鹰杯小动物医师技能大赛”2</w:t>
      </w:r>
      <w:r>
        <w:rPr>
          <w:rFonts w:hint="eastAsia" w:ascii="Times New Roman" w:hAnsi="Times New Roman" w:eastAsia="楷体" w:cs="Times New Roman"/>
          <w:color w:val="000000"/>
          <w:sz w:val="28"/>
          <w:szCs w:val="28"/>
        </w:rPr>
        <w:t>项国家级大学生学科竞赛项目，主办“第七届动物生产技能竞赛”、“第七届生物化学知识技能大赛”、“</w:t>
      </w:r>
      <w:r>
        <w:rPr>
          <w:rFonts w:ascii="Times New Roman" w:hAnsi="Times New Roman" w:eastAsia="楷体" w:cs="Times New Roman"/>
          <w:color w:val="000000"/>
          <w:sz w:val="28"/>
          <w:szCs w:val="28"/>
        </w:rPr>
        <w:t>第七届大学生兽医外科手术技能大赛</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第二届美联众合杯兽医临床技能大赛</w:t>
      </w:r>
      <w:r>
        <w:rPr>
          <w:rFonts w:hint="eastAsia" w:ascii="Times New Roman" w:hAnsi="Times New Roman" w:eastAsia="楷体" w:cs="Times New Roman"/>
          <w:color w:val="000000"/>
          <w:sz w:val="28"/>
          <w:szCs w:val="28"/>
        </w:rPr>
        <w:t>”和“第七届宠颐生杯大学生兽医外科手术技能大赛”5项校级学科竞赛项目；参加国家级和校级学科竞赛的学生人数分别为180人和1180人，占学生总人数12.3%和65.9%。</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3.</w:t>
      </w:r>
      <w:r>
        <w:rPr>
          <w:rFonts w:hint="eastAsia" w:ascii="Times New Roman" w:hAnsi="Times New Roman" w:eastAsia="楷体" w:cs="Times New Roman"/>
          <w:b/>
          <w:color w:val="000000"/>
          <w:sz w:val="28"/>
          <w:szCs w:val="28"/>
        </w:rPr>
        <w:t>基地与平台建设</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申报的石羊农牧产业本硕博贯通培养创新创业实践教育基地，成功获批“</w:t>
      </w:r>
      <w:r>
        <w:rPr>
          <w:rFonts w:ascii="Times New Roman" w:hAnsi="Times New Roman" w:eastAsia="楷体" w:cs="Times New Roman"/>
          <w:color w:val="000000"/>
          <w:sz w:val="28"/>
          <w:szCs w:val="28"/>
        </w:rPr>
        <w:t>2018</w:t>
      </w:r>
      <w:r>
        <w:rPr>
          <w:rFonts w:hint="eastAsia" w:ascii="Times New Roman" w:hAnsi="Times New Roman" w:eastAsia="楷体" w:cs="Times New Roman"/>
          <w:color w:val="000000"/>
          <w:sz w:val="28"/>
          <w:szCs w:val="28"/>
        </w:rPr>
        <w:t>年陕西省大学生校外创新创业教育实践基地”，基地将面向农牧产业发展重大需求，突出问题导向，坚持产学研用紧密结合，探索校企多层次高素质双创实践教育人才培养模式和培养体系。</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2018年中心获批家畜生物技术国家重点实验室陕西省科技厅培育项目，获批陕西省动物遗传育种与繁殖重点实验室，邀请向仲怀、陈焕春院士来校指导中心的建设。</w:t>
      </w:r>
      <w:bookmarkStart w:id="1" w:name="OLE_LINK2"/>
      <w:r>
        <w:rPr>
          <w:rFonts w:hint="eastAsia" w:ascii="Times New Roman" w:hAnsi="Times New Roman" w:eastAsia="楷体" w:cs="Times New Roman"/>
          <w:color w:val="000000"/>
          <w:sz w:val="28"/>
          <w:szCs w:val="28"/>
        </w:rPr>
        <w:t>2018年</w:t>
      </w:r>
      <w:r>
        <w:rPr>
          <w:rFonts w:hint="eastAsia" w:ascii="Times New Roman" w:hAnsi="Times New Roman" w:eastAsia="楷体" w:cs="Times New Roman"/>
          <w:color w:val="000000"/>
          <w:sz w:val="28"/>
          <w:szCs w:val="28"/>
          <w:lang w:val="en-US" w:eastAsia="zh-CN"/>
        </w:rPr>
        <w:t>立项</w:t>
      </w:r>
      <w:r>
        <w:rPr>
          <w:rFonts w:hint="eastAsia" w:ascii="Times New Roman" w:hAnsi="Times New Roman" w:eastAsia="楷体" w:cs="Times New Roman"/>
          <w:sz w:val="28"/>
          <w:szCs w:val="28"/>
        </w:rPr>
        <w:t>860万元</w:t>
      </w:r>
      <w:r>
        <w:rPr>
          <w:rFonts w:hint="eastAsia" w:ascii="Times New Roman" w:hAnsi="Times New Roman" w:eastAsia="楷体" w:cs="Times New Roman"/>
          <w:color w:val="000000"/>
          <w:sz w:val="28"/>
          <w:szCs w:val="28"/>
        </w:rPr>
        <w:t>实验动物中心建设经费，动科分中心获批235万元的修购项目，</w:t>
      </w:r>
      <w:bookmarkEnd w:id="1"/>
      <w:r>
        <w:rPr>
          <w:rFonts w:hint="eastAsia" w:ascii="Times New Roman" w:hAnsi="Times New Roman" w:eastAsia="楷体" w:cs="Times New Roman"/>
          <w:color w:val="000000"/>
          <w:sz w:val="28"/>
          <w:szCs w:val="28"/>
        </w:rPr>
        <w:t>用于更新老旧仪器设备、增加新仪器设备，提升实验实践教学的硬件水平和人才培养质量。</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4.</w:t>
      </w:r>
      <w:r>
        <w:rPr>
          <w:rFonts w:hint="eastAsia" w:ascii="Times New Roman" w:hAnsi="Times New Roman" w:eastAsia="楷体" w:cs="Times New Roman"/>
          <w:b/>
          <w:color w:val="000000"/>
          <w:sz w:val="28"/>
          <w:szCs w:val="28"/>
        </w:rPr>
        <w:t>课程与教材建设</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2018年在建</w:t>
      </w:r>
      <w:r>
        <w:rPr>
          <w:rFonts w:ascii="Times New Roman" w:hAnsi="Times New Roman" w:eastAsia="楷体" w:cs="Times New Roman"/>
          <w:color w:val="000000"/>
          <w:sz w:val="28"/>
          <w:szCs w:val="28"/>
        </w:rPr>
        <w:t>在线课程11</w:t>
      </w:r>
      <w:r>
        <w:rPr>
          <w:rFonts w:hint="eastAsia" w:ascii="Times New Roman" w:hAnsi="Times New Roman" w:eastAsia="楷体" w:cs="Times New Roman"/>
          <w:color w:val="000000"/>
          <w:sz w:val="28"/>
          <w:szCs w:val="28"/>
        </w:rPr>
        <w:t>门（</w:t>
      </w:r>
      <w:r>
        <w:rPr>
          <w:rFonts w:ascii="Times New Roman" w:hAnsi="Times New Roman" w:eastAsia="楷体" w:cs="Times New Roman"/>
          <w:color w:val="000000"/>
          <w:sz w:val="28"/>
          <w:szCs w:val="28"/>
        </w:rPr>
        <w:t>MOOC 3门，SPOC 8门</w:t>
      </w:r>
      <w:r>
        <w:rPr>
          <w:rFonts w:hint="eastAsia" w:ascii="Times New Roman" w:hAnsi="Times New Roman" w:eastAsia="楷体" w:cs="Times New Roman"/>
          <w:color w:val="000000"/>
          <w:sz w:val="28"/>
          <w:szCs w:val="28"/>
        </w:rPr>
        <w:t>），获批暑期课程5门、专业外籍教师授课课程8门、“课程思政”示范课程12门。</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在编“十三五”规划教材12部，昝林森教授主编的《牛生产学》、《牛生产学实习指导》、刘小林教授主编的《动物育种学》正式出版；欧阳五庆教授主编的《动物生理学》、卿素珠教授等主编的《家畜组织学与胚胎学》教材获陕西省普通高等学校优秀教材二等奖。</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（二）人才培养成效评价</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1.</w:t>
      </w:r>
      <w:r>
        <w:rPr>
          <w:rFonts w:hint="eastAsia" w:ascii="Times New Roman" w:hAnsi="Times New Roman" w:eastAsia="楷体" w:cs="Times New Roman"/>
          <w:b/>
          <w:color w:val="000000"/>
          <w:sz w:val="28"/>
          <w:szCs w:val="28"/>
        </w:rPr>
        <w:t>专业排名</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在</w:t>
      </w:r>
      <w:r>
        <w:rPr>
          <w:rFonts w:ascii="Times New Roman" w:hAnsi="Times New Roman" w:eastAsia="楷体" w:cs="Times New Roman"/>
          <w:color w:val="000000"/>
          <w:sz w:val="28"/>
          <w:szCs w:val="28"/>
        </w:rPr>
        <w:t>2018</w:t>
      </w:r>
      <w:r>
        <w:rPr>
          <w:rFonts w:hint="eastAsia" w:ascii="Times New Roman" w:hAnsi="Times New Roman" w:eastAsia="楷体" w:cs="Times New Roman"/>
          <w:color w:val="000000"/>
          <w:sz w:val="28"/>
          <w:szCs w:val="28"/>
        </w:rPr>
        <w:t>年中国大学本科教育专业排名中，西北农林科技大学动物医学专业排名第三</w:t>
      </w:r>
      <w:r>
        <w:rPr>
          <w:rFonts w:hint="eastAsia" w:ascii="微软雅黑" w:hAnsi="微软雅黑" w:eastAsia="微软雅黑" w:cs="微软雅黑"/>
          <w:color w:val="000000"/>
          <w:sz w:val="28"/>
          <w:szCs w:val="28"/>
        </w:rPr>
        <w:t>，</w:t>
      </w:r>
      <w:r>
        <w:rPr>
          <w:rFonts w:hint="eastAsia" w:ascii="Times New Roman" w:hAnsi="Times New Roman" w:eastAsia="楷体" w:cs="Times New Roman"/>
          <w:color w:val="000000"/>
          <w:sz w:val="28"/>
          <w:szCs w:val="28"/>
        </w:rPr>
        <w:t>动物科学专业排名第四。</w:t>
      </w:r>
    </w:p>
    <w:p>
      <w:pPr>
        <w:rPr>
          <w:rFonts w:ascii="Times New Roman" w:hAnsi="Times New Roman" w:eastAsia="楷体" w:cs="Times New Roman"/>
          <w:b/>
          <w:color w:val="000000"/>
          <w:sz w:val="28"/>
          <w:szCs w:val="28"/>
        </w:rPr>
      </w:pPr>
      <w:r>
        <w:rPr>
          <w:rFonts w:hint="eastAsia" w:ascii="Times New Roman" w:hAnsi="Times New Roman" w:eastAsia="楷体" w:cs="Times New Roman"/>
          <w:b/>
          <w:color w:val="000000"/>
          <w:sz w:val="28"/>
          <w:szCs w:val="28"/>
        </w:rPr>
        <w:t>2.创新创业奖及发表论文</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本科生获</w:t>
      </w:r>
      <w:r>
        <w:rPr>
          <w:rFonts w:ascii="Times New Roman" w:hAnsi="Times New Roman" w:eastAsia="楷体" w:cs="Times New Roman"/>
          <w:color w:val="000000"/>
          <w:sz w:val="28"/>
          <w:szCs w:val="28"/>
        </w:rPr>
        <w:t>全国生命科学创新创业大赛</w:t>
      </w:r>
      <w:r>
        <w:rPr>
          <w:rFonts w:hint="eastAsia" w:ascii="Times New Roman" w:hAnsi="Times New Roman" w:eastAsia="楷体" w:cs="Times New Roman"/>
          <w:color w:val="000000"/>
          <w:sz w:val="28"/>
          <w:szCs w:val="28"/>
        </w:rPr>
        <w:t>一等奖7项、二等奖3项、三等奖2项，全国大学生体育产业创新创业大赛三等奖1项，第三届全国牛精英挑战赛一等奖1项，第五届全国“生泰尔杯”大学生动物医学专业技能大赛特等奖1项、单项优异奖2项、优秀指导教师7人，第四届“雄鹰杯”小动物医师技能大赛总决赛大学生组特等奖1项、最佳组织院校奖1项、中国兽医新星奖1项等奖项</w:t>
      </w:r>
      <w:r>
        <w:rPr>
          <w:rFonts w:ascii="Times New Roman" w:hAnsi="Times New Roman" w:eastAsia="楷体" w:cs="Times New Roman"/>
          <w:color w:val="000000"/>
          <w:sz w:val="28"/>
          <w:szCs w:val="28"/>
        </w:rPr>
        <w:t>2</w:t>
      </w:r>
      <w:r>
        <w:rPr>
          <w:rFonts w:hint="eastAsia" w:ascii="Times New Roman" w:hAnsi="Times New Roman" w:eastAsia="楷体" w:cs="Times New Roman"/>
          <w:color w:val="000000"/>
          <w:sz w:val="28"/>
          <w:szCs w:val="28"/>
        </w:rPr>
        <w:t>8项，国家级竞赛获奖人数达52人。</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获陕西省“创青春”、“挑战杯”、“互联网+”等大学生创新创业大赛奖项16项；学校“互联网+创业大赛”和“创新创业论坛”奖项18项。</w:t>
      </w:r>
    </w:p>
    <w:p>
      <w:pPr>
        <w:ind w:firstLine="560" w:firstLineChars="200"/>
        <w:rPr>
          <w:rFonts w:ascii="Times New Roman" w:hAnsi="Times New Roman" w:eastAsia="楷体" w:cs="Times New Roman"/>
          <w:b/>
          <w:color w:val="000000"/>
          <w:sz w:val="28"/>
          <w:szCs w:val="28"/>
        </w:rPr>
      </w:pPr>
      <w:r>
        <w:rPr>
          <w:rFonts w:hint="eastAsia" w:ascii="Times New Roman" w:hAnsi="Times New Roman" w:eastAsia="楷体" w:cs="Times New Roman"/>
          <w:color w:val="000000"/>
          <w:sz w:val="28"/>
          <w:szCs w:val="28"/>
        </w:rPr>
        <w:t>大学生公开发表科技论文86篇，其中SCI论文31篇，中文核心期刊论文23篇，大学生第一署名专利1件。</w:t>
      </w:r>
    </w:p>
    <w:p>
      <w:pPr>
        <w:rPr>
          <w:rFonts w:ascii="Times New Roman" w:hAnsi="Times New Roman" w:eastAsia="楷体" w:cs="Times New Roman"/>
          <w:b/>
          <w:color w:val="000000"/>
          <w:sz w:val="28"/>
          <w:szCs w:val="28"/>
        </w:rPr>
      </w:pPr>
      <w:r>
        <w:rPr>
          <w:rFonts w:hint="eastAsia" w:ascii="Times New Roman" w:hAnsi="Times New Roman" w:eastAsia="楷体" w:cs="Times New Roman"/>
          <w:b/>
          <w:color w:val="000000"/>
          <w:sz w:val="28"/>
          <w:szCs w:val="28"/>
        </w:rPr>
        <w:t>3.大学生国内外访学交流</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获批爱丁堡大学201</w:t>
      </w:r>
      <w:r>
        <w:rPr>
          <w:rFonts w:hint="eastAsia" w:ascii="Times New Roman" w:hAnsi="Times New Roman" w:eastAsia="楷体" w:cs="Times New Roman"/>
          <w:color w:val="000000"/>
          <w:sz w:val="28"/>
          <w:szCs w:val="28"/>
        </w:rPr>
        <w:t>9</w:t>
      </w:r>
      <w:r>
        <w:rPr>
          <w:rFonts w:ascii="Times New Roman" w:hAnsi="Times New Roman" w:eastAsia="楷体" w:cs="Times New Roman"/>
          <w:color w:val="000000"/>
          <w:sz w:val="28"/>
          <w:szCs w:val="28"/>
        </w:rPr>
        <w:t>年本科生海外访学项目</w:t>
      </w:r>
      <w:r>
        <w:rPr>
          <w:rFonts w:hint="eastAsia" w:ascii="Times New Roman" w:hAnsi="Times New Roman" w:eastAsia="楷体" w:cs="Times New Roman"/>
          <w:color w:val="000000"/>
          <w:sz w:val="28"/>
          <w:szCs w:val="28"/>
        </w:rPr>
        <w:t>；14</w:t>
      </w:r>
      <w:r>
        <w:rPr>
          <w:rFonts w:ascii="Times New Roman" w:hAnsi="Times New Roman" w:eastAsia="楷体" w:cs="Times New Roman"/>
          <w:color w:val="000000"/>
          <w:sz w:val="28"/>
          <w:szCs w:val="28"/>
        </w:rPr>
        <w:t>名学生分别参加</w:t>
      </w:r>
      <w:r>
        <w:rPr>
          <w:rFonts w:hint="eastAsia" w:ascii="Times New Roman" w:hAnsi="Times New Roman" w:eastAsia="楷体" w:cs="Times New Roman"/>
          <w:color w:val="000000"/>
          <w:sz w:val="28"/>
          <w:szCs w:val="28"/>
        </w:rPr>
        <w:t>剑桥大学、</w:t>
      </w:r>
      <w:r>
        <w:rPr>
          <w:rFonts w:ascii="Times New Roman" w:hAnsi="Times New Roman" w:eastAsia="楷体" w:cs="Times New Roman"/>
          <w:color w:val="000000"/>
          <w:sz w:val="28"/>
          <w:szCs w:val="28"/>
        </w:rPr>
        <w:t>爱丁堡大学、</w:t>
      </w:r>
      <w:r>
        <w:rPr>
          <w:rFonts w:hint="eastAsia" w:ascii="Times New Roman" w:hAnsi="Times New Roman" w:eastAsia="楷体" w:cs="Times New Roman"/>
          <w:color w:val="000000"/>
          <w:sz w:val="28"/>
          <w:szCs w:val="28"/>
        </w:rPr>
        <w:t>俄克拉荷马州立大学</w:t>
      </w:r>
      <w:r>
        <w:rPr>
          <w:rFonts w:ascii="Times New Roman" w:hAnsi="Times New Roman" w:eastAsia="楷体" w:cs="Times New Roman"/>
          <w:color w:val="000000"/>
          <w:sz w:val="28"/>
          <w:szCs w:val="28"/>
        </w:rPr>
        <w:t>、西澳大学</w:t>
      </w:r>
      <w:r>
        <w:rPr>
          <w:rFonts w:hint="eastAsia" w:ascii="Times New Roman" w:hAnsi="Times New Roman" w:eastAsia="楷体" w:cs="Times New Roman"/>
          <w:color w:val="000000"/>
          <w:sz w:val="28"/>
          <w:szCs w:val="28"/>
        </w:rPr>
        <w:t>、早稻田大学</w:t>
      </w:r>
      <w:r>
        <w:rPr>
          <w:rFonts w:ascii="Times New Roman" w:hAnsi="Times New Roman" w:eastAsia="楷体" w:cs="Times New Roman"/>
          <w:color w:val="000000"/>
          <w:sz w:val="28"/>
          <w:szCs w:val="28"/>
        </w:rPr>
        <w:t>等暑期海外访学活动</w:t>
      </w:r>
      <w:r>
        <w:rPr>
          <w:rFonts w:hint="eastAsia" w:ascii="Times New Roman" w:hAnsi="Times New Roman" w:eastAsia="楷体" w:cs="Times New Roman"/>
          <w:color w:val="000000"/>
          <w:sz w:val="28"/>
          <w:szCs w:val="28"/>
        </w:rPr>
        <w:t>；中心选派3</w:t>
      </w:r>
      <w:r>
        <w:rPr>
          <w:rFonts w:ascii="Times New Roman" w:hAnsi="Times New Roman" w:eastAsia="楷体" w:cs="Times New Roman"/>
          <w:color w:val="000000"/>
          <w:sz w:val="28"/>
          <w:szCs w:val="28"/>
        </w:rPr>
        <w:t>名学生赴中国农业大学访学一年。</w:t>
      </w:r>
    </w:p>
    <w:p>
      <w:pPr>
        <w:rPr>
          <w:rFonts w:ascii="Times New Roman" w:hAnsi="Times New Roman" w:eastAsia="楷体" w:cs="Times New Roman"/>
          <w:b/>
          <w:color w:val="000000"/>
          <w:sz w:val="28"/>
          <w:szCs w:val="28"/>
        </w:rPr>
      </w:pPr>
      <w:r>
        <w:rPr>
          <w:rFonts w:hint="eastAsia" w:ascii="Times New Roman" w:hAnsi="Times New Roman" w:eastAsia="楷体" w:cs="Times New Roman"/>
          <w:b/>
          <w:color w:val="000000"/>
          <w:sz w:val="28"/>
          <w:szCs w:val="28"/>
        </w:rPr>
        <w:t>4.本科生升学出国率创新高</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2018届本科生升学出国率5</w:t>
      </w:r>
      <w:r>
        <w:rPr>
          <w:rFonts w:hint="eastAsia" w:ascii="Times New Roman" w:hAnsi="Times New Roman" w:eastAsia="楷体" w:cs="Times New Roman"/>
          <w:color w:val="000000"/>
          <w:sz w:val="28"/>
          <w:szCs w:val="28"/>
        </w:rPr>
        <w:t>8.</w:t>
      </w:r>
      <w:r>
        <w:rPr>
          <w:rFonts w:ascii="Times New Roman" w:hAnsi="Times New Roman" w:eastAsia="楷体" w:cs="Times New Roman"/>
          <w:color w:val="000000"/>
          <w:sz w:val="28"/>
          <w:szCs w:val="28"/>
        </w:rPr>
        <w:t>9%，年终就业率9</w:t>
      </w:r>
      <w:r>
        <w:rPr>
          <w:rFonts w:hint="eastAsia" w:ascii="Times New Roman" w:hAnsi="Times New Roman" w:eastAsia="楷体" w:cs="Times New Roman"/>
          <w:color w:val="000000"/>
          <w:sz w:val="28"/>
          <w:szCs w:val="28"/>
        </w:rPr>
        <w:t>7</w:t>
      </w:r>
      <w:r>
        <w:rPr>
          <w:rFonts w:ascii="Times New Roman" w:hAnsi="Times New Roman" w:eastAsia="楷体" w:cs="Times New Roman"/>
          <w:color w:val="000000"/>
          <w:sz w:val="28"/>
          <w:szCs w:val="28"/>
        </w:rPr>
        <w:t>.</w:t>
      </w:r>
      <w:r>
        <w:rPr>
          <w:rFonts w:hint="eastAsia" w:ascii="Times New Roman" w:hAnsi="Times New Roman" w:eastAsia="楷体" w:cs="Times New Roman"/>
          <w:color w:val="000000"/>
          <w:sz w:val="28"/>
          <w:szCs w:val="28"/>
        </w:rPr>
        <w:t>54</w:t>
      </w:r>
      <w:r>
        <w:rPr>
          <w:rFonts w:ascii="Times New Roman" w:hAnsi="Times New Roman" w:eastAsia="楷体" w:cs="Times New Roman"/>
          <w:color w:val="000000"/>
          <w:sz w:val="28"/>
          <w:szCs w:val="28"/>
        </w:rPr>
        <w:t>%。2019届推免</w:t>
      </w:r>
      <w:r>
        <w:rPr>
          <w:rFonts w:hint="eastAsia" w:ascii="Times New Roman" w:hAnsi="Times New Roman" w:eastAsia="楷体" w:cs="Times New Roman"/>
          <w:color w:val="000000"/>
          <w:sz w:val="28"/>
          <w:szCs w:val="28"/>
        </w:rPr>
        <w:t>研究</w:t>
      </w:r>
      <w:r>
        <w:rPr>
          <w:rFonts w:ascii="Times New Roman" w:hAnsi="Times New Roman" w:eastAsia="楷体" w:cs="Times New Roman"/>
          <w:color w:val="000000"/>
          <w:sz w:val="28"/>
          <w:szCs w:val="28"/>
        </w:rPr>
        <w:t>生</w:t>
      </w:r>
      <w:r>
        <w:rPr>
          <w:rFonts w:hint="eastAsia" w:ascii="Times New Roman" w:hAnsi="Times New Roman" w:eastAsia="楷体" w:cs="Times New Roman"/>
          <w:color w:val="000000"/>
          <w:sz w:val="28"/>
          <w:szCs w:val="28"/>
        </w:rPr>
        <w:t>136</w:t>
      </w:r>
      <w:r>
        <w:rPr>
          <w:rFonts w:ascii="Times New Roman" w:hAnsi="Times New Roman" w:eastAsia="楷体" w:cs="Times New Roman"/>
          <w:color w:val="000000"/>
          <w:sz w:val="28"/>
          <w:szCs w:val="28"/>
        </w:rPr>
        <w:t>人，占</w:t>
      </w:r>
      <w:r>
        <w:rPr>
          <w:rFonts w:hint="eastAsia" w:ascii="Times New Roman" w:hAnsi="Times New Roman" w:eastAsia="楷体" w:cs="Times New Roman"/>
          <w:color w:val="000000"/>
          <w:sz w:val="28"/>
          <w:szCs w:val="28"/>
        </w:rPr>
        <w:t>本届学生人数35</w:t>
      </w:r>
      <w:r>
        <w:rPr>
          <w:rFonts w:ascii="Times New Roman" w:hAnsi="Times New Roman" w:eastAsia="楷体" w:cs="Times New Roman"/>
          <w:color w:val="000000"/>
          <w:sz w:val="28"/>
          <w:szCs w:val="28"/>
        </w:rPr>
        <w:t>.3%，全部被“985”、“211”高校和知名科研院所接收</w:t>
      </w:r>
      <w:r>
        <w:rPr>
          <w:rFonts w:hint="eastAsia" w:ascii="Times New Roman" w:hAnsi="Times New Roman" w:eastAsia="楷体" w:cs="Times New Roman"/>
          <w:color w:val="000000"/>
          <w:sz w:val="28"/>
          <w:szCs w:val="28"/>
        </w:rPr>
        <w:t>。动物医学专业2018级第一志愿率82.67%，动物医学专业学生学习经历满意度为8</w:t>
      </w:r>
      <w:r>
        <w:rPr>
          <w:rFonts w:ascii="Times New Roman" w:hAnsi="Times New Roman" w:eastAsia="楷体" w:cs="Times New Roman"/>
          <w:color w:val="000000"/>
          <w:sz w:val="28"/>
          <w:szCs w:val="28"/>
        </w:rPr>
        <w:t>4</w:t>
      </w:r>
      <w:r>
        <w:rPr>
          <w:rFonts w:hint="eastAsia" w:ascii="Times New Roman" w:hAnsi="Times New Roman" w:eastAsia="楷体" w:cs="Times New Roman"/>
          <w:color w:val="000000"/>
          <w:sz w:val="28"/>
          <w:szCs w:val="28"/>
        </w:rPr>
        <w:t>分，全校排名第二，动物科学专业学生学习经历满意度为83分，排名第三。</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二、教学改革与科学研究</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（一）教学改革立项、进展、完成等情况</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w:t>
      </w:r>
      <w:r>
        <w:rPr>
          <w:rFonts w:ascii="Times New Roman" w:hAnsi="Times New Roman" w:eastAsia="楷体" w:cs="Times New Roman"/>
          <w:color w:val="000000"/>
          <w:sz w:val="28"/>
          <w:szCs w:val="28"/>
        </w:rPr>
        <w:t>018</w:t>
      </w:r>
      <w:r>
        <w:rPr>
          <w:rFonts w:hint="eastAsia" w:ascii="Times New Roman" w:hAnsi="Times New Roman" w:eastAsia="楷体" w:cs="Times New Roman"/>
          <w:color w:val="000000"/>
          <w:sz w:val="28"/>
          <w:szCs w:val="28"/>
        </w:rPr>
        <w:t>年承担1项在研省级教改项目《动科学院双创型人才培养“12345”新模式探索与实践》，2项校级重点教改项目，4项一般教改项目，16项培育教改项目，全部完成中期检查。</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陈树林教授申报的“以培养卓越兽医人才为目标的专业基础课程改革与实践”获2018年度陕西省教学成果特等奖。中心2018年度发表教改论文17篇。</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（二）科学研究</w:t>
      </w:r>
      <w:r>
        <w:rPr>
          <w:rFonts w:hint="eastAsia" w:ascii="Times New Roman" w:hAnsi="Times New Roman" w:eastAsia="楷体" w:cs="Times New Roman"/>
          <w:b/>
          <w:color w:val="000000"/>
          <w:sz w:val="28"/>
          <w:szCs w:val="28"/>
        </w:rPr>
        <w:t>与技术推广</w:t>
      </w:r>
      <w:r>
        <w:rPr>
          <w:rFonts w:ascii="Times New Roman" w:hAnsi="Times New Roman" w:eastAsia="楷体" w:cs="Times New Roman"/>
          <w:b/>
          <w:color w:val="000000"/>
          <w:sz w:val="28"/>
          <w:szCs w:val="28"/>
        </w:rPr>
        <w:t>等情况</w:t>
      </w:r>
    </w:p>
    <w:p>
      <w:pPr>
        <w:ind w:firstLine="697" w:firstLineChars="249"/>
        <w:jc w:val="left"/>
        <w:rPr>
          <w:rFonts w:ascii="Times New Roman" w:hAnsi="Times New Roman" w:eastAsia="楷体" w:cs="Times New Roman"/>
          <w:sz w:val="28"/>
          <w:szCs w:val="28"/>
        </w:rPr>
      </w:pPr>
      <w:r>
        <w:rPr>
          <w:rFonts w:hint="eastAsia" w:ascii="Times New Roman" w:hAnsi="Times New Roman" w:eastAsia="楷体" w:cs="Times New Roman"/>
          <w:sz w:val="28"/>
          <w:szCs w:val="28"/>
        </w:rPr>
        <w:t>获批省部级以上科研项目120项，其中，国家“十三五”重点研发计划项目2项、课题1项，国家自然科学优秀青年基金1项，国家转基因重大课题3项；获批国家自然科学基金29项。</w:t>
      </w:r>
      <w:r>
        <w:rPr>
          <w:rFonts w:ascii="Times New Roman" w:hAnsi="Times New Roman" w:eastAsia="楷体" w:cs="Times New Roman"/>
          <w:sz w:val="28"/>
          <w:szCs w:val="28"/>
        </w:rPr>
        <w:t>全年到位经费</w:t>
      </w:r>
      <w:r>
        <w:rPr>
          <w:rFonts w:hint="eastAsia" w:ascii="Times New Roman" w:hAnsi="Times New Roman" w:eastAsia="楷体" w:cs="Times New Roman"/>
          <w:sz w:val="28"/>
          <w:szCs w:val="28"/>
        </w:rPr>
        <w:t>9095.57</w:t>
      </w:r>
      <w:r>
        <w:rPr>
          <w:rFonts w:ascii="Times New Roman" w:hAnsi="Times New Roman" w:eastAsia="楷体" w:cs="Times New Roman"/>
          <w:sz w:val="28"/>
          <w:szCs w:val="28"/>
        </w:rPr>
        <w:t>万元，其中到位科研经费</w:t>
      </w:r>
      <w:r>
        <w:rPr>
          <w:rFonts w:hint="eastAsia" w:ascii="Times New Roman" w:hAnsi="Times New Roman" w:eastAsia="楷体" w:cs="Times New Roman"/>
          <w:sz w:val="28"/>
          <w:szCs w:val="28"/>
        </w:rPr>
        <w:t>7401.47</w:t>
      </w:r>
      <w:r>
        <w:rPr>
          <w:rFonts w:ascii="Times New Roman" w:hAnsi="Times New Roman" w:eastAsia="楷体" w:cs="Times New Roman"/>
          <w:sz w:val="28"/>
          <w:szCs w:val="28"/>
        </w:rPr>
        <w:t>万元，推广</w:t>
      </w:r>
      <w:r>
        <w:rPr>
          <w:rFonts w:hint="eastAsia" w:ascii="Times New Roman" w:hAnsi="Times New Roman" w:eastAsia="楷体" w:cs="Times New Roman"/>
          <w:sz w:val="28"/>
          <w:szCs w:val="28"/>
        </w:rPr>
        <w:t>经费1694.1万元。</w:t>
      </w:r>
    </w:p>
    <w:p>
      <w:pPr>
        <w:ind w:firstLine="560" w:firstLineChars="200"/>
        <w:rPr>
          <w:rFonts w:ascii="Times New Roman" w:hAnsi="Times New Roman" w:eastAsia="黑体" w:cs="Times New Roman"/>
          <w:b/>
          <w:color w:val="000000"/>
          <w:sz w:val="28"/>
          <w:szCs w:val="28"/>
        </w:rPr>
      </w:pPr>
      <w:r>
        <w:rPr>
          <w:rFonts w:hint="eastAsia" w:ascii="Times New Roman" w:hAnsi="Times New Roman" w:eastAsia="楷体" w:cs="Times New Roman"/>
          <w:sz w:val="28"/>
          <w:szCs w:val="28"/>
        </w:rPr>
        <w:t>2018年公开发表论文568篇，其中</w:t>
      </w:r>
      <w:r>
        <w:rPr>
          <w:rFonts w:ascii="Times New Roman" w:hAnsi="Times New Roman" w:eastAsia="楷体" w:cs="Times New Roman"/>
          <w:sz w:val="28"/>
          <w:szCs w:val="28"/>
        </w:rPr>
        <w:t>SCI论文</w:t>
      </w:r>
      <w:r>
        <w:rPr>
          <w:rFonts w:hint="eastAsia" w:ascii="Times New Roman" w:hAnsi="Times New Roman" w:eastAsia="楷体" w:cs="Times New Roman"/>
          <w:sz w:val="28"/>
          <w:szCs w:val="28"/>
        </w:rPr>
        <w:t>392篇（</w:t>
      </w:r>
      <w:r>
        <w:rPr>
          <w:rFonts w:ascii="Times New Roman" w:hAnsi="Times New Roman" w:eastAsia="楷体" w:cs="Times New Roman"/>
          <w:sz w:val="28"/>
          <w:szCs w:val="28"/>
        </w:rPr>
        <w:t>影响因子大于10的4篇）</w:t>
      </w:r>
      <w:r>
        <w:rPr>
          <w:rFonts w:hint="eastAsia" w:ascii="Times New Roman" w:hAnsi="Times New Roman" w:eastAsia="楷体" w:cs="Times New Roman"/>
          <w:sz w:val="28"/>
          <w:szCs w:val="28"/>
        </w:rPr>
        <w:t>。获批专利20件、软件著作权61件，</w:t>
      </w:r>
      <w:r>
        <w:rPr>
          <w:rFonts w:hint="eastAsia" w:ascii="Times New Roman" w:hAnsi="Times New Roman" w:eastAsia="楷体" w:cs="Times New Roman"/>
          <w:color w:val="000000"/>
          <w:sz w:val="28"/>
          <w:szCs w:val="28"/>
        </w:rPr>
        <w:t>出版著作4部，新品种审定1项，获省部级以上奖励7项（第一单位5项）。昝林森荣获中国发明协会第十届发明创业特等奖并被授予“当代发明家”称号。</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三、人才队伍建设</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（一）队伍建设基本情况</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w:t>
      </w: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固定人员</w:t>
      </w:r>
      <w:r>
        <w:rPr>
          <w:rFonts w:ascii="Times New Roman" w:hAnsi="Times New Roman" w:eastAsia="楷体" w:cs="Times New Roman"/>
          <w:sz w:val="28"/>
          <w:szCs w:val="28"/>
        </w:rPr>
        <w:t>2</w:t>
      </w:r>
      <w:r>
        <w:rPr>
          <w:rFonts w:hint="eastAsia" w:ascii="Times New Roman" w:hAnsi="Times New Roman" w:eastAsia="楷体" w:cs="Times New Roman"/>
          <w:sz w:val="28"/>
          <w:szCs w:val="28"/>
        </w:rPr>
        <w:t>69人</w:t>
      </w:r>
      <w:r>
        <w:rPr>
          <w:rFonts w:hint="eastAsia" w:ascii="Times New Roman" w:hAnsi="Times New Roman" w:eastAsia="楷体" w:cs="Times New Roman"/>
          <w:color w:val="000000"/>
          <w:sz w:val="28"/>
          <w:szCs w:val="28"/>
        </w:rPr>
        <w:t>，其中，实验</w:t>
      </w:r>
      <w:r>
        <w:rPr>
          <w:rFonts w:ascii="Times New Roman" w:hAnsi="Times New Roman" w:eastAsia="楷体" w:cs="Times New Roman"/>
          <w:color w:val="000000"/>
          <w:sz w:val="28"/>
          <w:szCs w:val="28"/>
        </w:rPr>
        <w:t>教师</w:t>
      </w:r>
      <w:r>
        <w:rPr>
          <w:rFonts w:hint="eastAsia" w:ascii="Times New Roman" w:hAnsi="Times New Roman" w:eastAsia="楷体" w:cs="Times New Roman"/>
          <w:color w:val="000000"/>
          <w:sz w:val="28"/>
          <w:szCs w:val="28"/>
        </w:rPr>
        <w:t>219</w:t>
      </w:r>
      <w:r>
        <w:rPr>
          <w:rFonts w:ascii="Times New Roman" w:hAnsi="Times New Roman" w:eastAsia="楷体" w:cs="Times New Roman"/>
          <w:color w:val="000000"/>
          <w:sz w:val="28"/>
          <w:szCs w:val="28"/>
        </w:rPr>
        <w:t>人，实验技术人</w:t>
      </w:r>
      <w:r>
        <w:rPr>
          <w:rFonts w:hint="eastAsia" w:ascii="Times New Roman" w:hAnsi="Times New Roman" w:eastAsia="楷体" w:cs="Times New Roman"/>
          <w:color w:val="000000"/>
          <w:sz w:val="28"/>
          <w:szCs w:val="28"/>
        </w:rPr>
        <w:t>员</w:t>
      </w:r>
      <w:r>
        <w:rPr>
          <w:rFonts w:ascii="Times New Roman" w:hAnsi="Times New Roman" w:eastAsia="楷体" w:cs="Times New Roman"/>
          <w:color w:val="000000"/>
          <w:sz w:val="28"/>
          <w:szCs w:val="28"/>
        </w:rPr>
        <w:t>27人，</w:t>
      </w:r>
      <w:r>
        <w:rPr>
          <w:rFonts w:hint="eastAsia" w:ascii="Times New Roman" w:hAnsi="Times New Roman" w:eastAsia="楷体" w:cs="Times New Roman"/>
          <w:color w:val="000000"/>
          <w:sz w:val="28"/>
          <w:szCs w:val="28"/>
        </w:rPr>
        <w:t>其他23人；</w:t>
      </w:r>
      <w:r>
        <w:rPr>
          <w:rFonts w:ascii="Times New Roman" w:hAnsi="Times New Roman" w:eastAsia="楷体" w:cs="Times New Roman"/>
          <w:color w:val="000000"/>
          <w:sz w:val="28"/>
          <w:szCs w:val="28"/>
        </w:rPr>
        <w:t>正高</w:t>
      </w:r>
      <w:r>
        <w:rPr>
          <w:rFonts w:hint="eastAsia" w:ascii="Times New Roman" w:hAnsi="Times New Roman" w:eastAsia="楷体" w:cs="Times New Roman"/>
          <w:color w:val="000000"/>
          <w:sz w:val="28"/>
          <w:szCs w:val="28"/>
        </w:rPr>
        <w:t>职称71</w:t>
      </w:r>
      <w:r>
        <w:rPr>
          <w:rFonts w:ascii="Times New Roman" w:hAnsi="Times New Roman" w:eastAsia="楷体" w:cs="Times New Roman"/>
          <w:color w:val="000000"/>
          <w:sz w:val="28"/>
          <w:szCs w:val="28"/>
        </w:rPr>
        <w:t>人，副高</w:t>
      </w:r>
      <w:r>
        <w:rPr>
          <w:rFonts w:hint="eastAsia" w:ascii="Times New Roman" w:hAnsi="Times New Roman" w:eastAsia="楷体" w:cs="Times New Roman"/>
          <w:color w:val="000000"/>
          <w:sz w:val="28"/>
          <w:szCs w:val="28"/>
        </w:rPr>
        <w:t>职称</w:t>
      </w:r>
      <w:r>
        <w:rPr>
          <w:rFonts w:ascii="Times New Roman" w:hAnsi="Times New Roman" w:eastAsia="楷体" w:cs="Times New Roman"/>
          <w:color w:val="000000"/>
          <w:sz w:val="28"/>
          <w:szCs w:val="28"/>
        </w:rPr>
        <w:t>96人，具有博士学位20</w:t>
      </w:r>
      <w:r>
        <w:rPr>
          <w:rFonts w:hint="eastAsia" w:ascii="Times New Roman" w:hAnsi="Times New Roman" w:eastAsia="楷体" w:cs="Times New Roman"/>
          <w:color w:val="000000"/>
          <w:sz w:val="28"/>
          <w:szCs w:val="28"/>
        </w:rPr>
        <w:t>8</w:t>
      </w:r>
      <w:r>
        <w:rPr>
          <w:rFonts w:ascii="Times New Roman" w:hAnsi="Times New Roman" w:eastAsia="楷体" w:cs="Times New Roman"/>
          <w:color w:val="000000"/>
          <w:sz w:val="28"/>
          <w:szCs w:val="28"/>
        </w:rPr>
        <w:t>人</w:t>
      </w:r>
      <w:r>
        <w:rPr>
          <w:rFonts w:hint="eastAsia" w:ascii="Times New Roman" w:hAnsi="Times New Roman" w:eastAsia="楷体" w:cs="Times New Roman"/>
          <w:color w:val="000000"/>
          <w:sz w:val="28"/>
          <w:szCs w:val="28"/>
        </w:rPr>
        <w:t>，队伍年龄、职称、学历结构更趋合理</w:t>
      </w:r>
      <w:r>
        <w:rPr>
          <w:rFonts w:ascii="Times New Roman" w:hAnsi="Times New Roman" w:eastAsia="楷体" w:cs="Times New Roman"/>
          <w:color w:val="000000"/>
          <w:sz w:val="28"/>
          <w:szCs w:val="28"/>
        </w:rPr>
        <w:t>。</w:t>
      </w:r>
      <w:r>
        <w:rPr>
          <w:rFonts w:hint="eastAsia" w:ascii="Times New Roman" w:hAnsi="Times New Roman" w:eastAsia="楷体" w:cs="Times New Roman"/>
          <w:color w:val="000000"/>
          <w:sz w:val="28"/>
          <w:szCs w:val="28"/>
        </w:rPr>
        <w:t>今年中心</w:t>
      </w:r>
      <w:r>
        <w:rPr>
          <w:rFonts w:ascii="Times New Roman" w:hAnsi="Times New Roman" w:eastAsia="楷体" w:cs="Times New Roman"/>
          <w:color w:val="000000"/>
          <w:sz w:val="28"/>
          <w:szCs w:val="28"/>
        </w:rPr>
        <w:t>从国内重点高校、研究所选聘8名博士进入教师队伍</w:t>
      </w:r>
      <w:r>
        <w:rPr>
          <w:rFonts w:hint="eastAsia" w:ascii="Times New Roman" w:hAnsi="Times New Roman" w:eastAsia="楷体" w:cs="Times New Roman"/>
          <w:color w:val="000000"/>
          <w:sz w:val="28"/>
          <w:szCs w:val="28"/>
        </w:rPr>
        <w:t>。</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教师队伍中有中组部千人计划专家1名、青年千人2名、国务院学位办学科评议组专家4名、教育部教指委专家组成员4名、教育部新世纪优秀人才10名、农业部岗位科学家8名、国家基金委优青1名。</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（二）队伍建设的举措与取得的成绩</w:t>
      </w:r>
    </w:p>
    <w:p>
      <w:pPr>
        <w:rPr>
          <w:rFonts w:ascii="Times New Roman" w:hAnsi="Times New Roman" w:eastAsia="楷体" w:cs="Times New Roman"/>
          <w:b/>
          <w:color w:val="000000"/>
          <w:sz w:val="28"/>
          <w:szCs w:val="28"/>
        </w:rPr>
      </w:pPr>
      <w:r>
        <w:rPr>
          <w:rFonts w:hint="eastAsia" w:ascii="Times New Roman" w:hAnsi="Times New Roman" w:eastAsia="楷体" w:cs="Times New Roman"/>
          <w:b/>
          <w:color w:val="000000"/>
          <w:sz w:val="28"/>
          <w:szCs w:val="28"/>
        </w:rPr>
        <w:t>1.完善本科生教育管理与指导体系建设，全面提高人才培养质量</w:t>
      </w:r>
    </w:p>
    <w:p>
      <w:pPr>
        <w:rPr>
          <w:rFonts w:ascii="Times New Roman" w:hAnsi="Times New Roman" w:eastAsia="楷体" w:cs="Times New Roman"/>
          <w:color w:val="000000"/>
          <w:sz w:val="28"/>
          <w:szCs w:val="28"/>
        </w:rPr>
      </w:pPr>
      <w:r>
        <w:rPr>
          <w:rFonts w:hint="eastAsia" w:ascii="Times New Roman" w:hAnsi="Times New Roman" w:eastAsia="楷体" w:cs="Times New Roman"/>
          <w:b/>
          <w:color w:val="000000"/>
          <w:sz w:val="28"/>
          <w:szCs w:val="28"/>
        </w:rPr>
        <w:t xml:space="preserve"> </w:t>
      </w:r>
      <w:r>
        <w:rPr>
          <w:rFonts w:ascii="Times New Roman" w:hAnsi="Times New Roman" w:eastAsia="楷体" w:cs="Times New Roman"/>
          <w:b/>
          <w:color w:val="000000"/>
          <w:sz w:val="28"/>
          <w:szCs w:val="28"/>
        </w:rPr>
        <w:t xml:space="preserve">  </w:t>
      </w:r>
      <w:r>
        <w:rPr>
          <w:rFonts w:hint="eastAsia" w:ascii="Times New Roman" w:hAnsi="Times New Roman" w:eastAsia="楷体" w:cs="Times New Roman"/>
          <w:color w:val="000000"/>
          <w:sz w:val="28"/>
          <w:szCs w:val="28"/>
        </w:rPr>
        <w:t>继续坚持和完善党委书记主管学生工作，党委副书记专门负责学生工作，辅导员做好学生日常管理与服务工作，同时，每班均由品学兼优的青年教师兼任班主任，新生入学起配备学业导师指导学生的专业规划和学习，全方位指导、关心学生的大学生活。</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2.设立省级教学名师工作室，发挥教学名师引领作用</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陈宏教授设立学校首批陕西省教学名师工作室，积极参与指导青年教师讲课比赛、课程思政大练兵等活动，充分发挥教学名师的示范引领作用，用实际行动发挥名师工作室的作用，全面提升教师培养质量。</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3.立足国内，放眼世界，培养青年教师队伍</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实施人才战略，加强高层次人才的引进和培养</w:t>
      </w:r>
      <w:r>
        <w:rPr>
          <w:rFonts w:hint="eastAsia" w:ascii="Times New Roman" w:hAnsi="Times New Roman" w:eastAsia="楷体" w:cs="Times New Roman"/>
          <w:color w:val="000000"/>
          <w:sz w:val="28"/>
          <w:szCs w:val="28"/>
        </w:rPr>
        <w:t>，引进“双一流”大学毕业生或具有海外留学经历的青年教师，</w:t>
      </w:r>
      <w:r>
        <w:rPr>
          <w:rFonts w:ascii="Times New Roman" w:hAnsi="Times New Roman" w:eastAsia="楷体" w:cs="Times New Roman"/>
          <w:color w:val="000000"/>
          <w:sz w:val="28"/>
          <w:szCs w:val="28"/>
        </w:rPr>
        <w:t>提升创新创造能力</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结合学校实施的“青年英才培育计划”、“优秀青年教师海外提升计划”等，着力改善人才结构</w:t>
      </w:r>
      <w:r>
        <w:rPr>
          <w:rFonts w:hint="eastAsia" w:ascii="Times New Roman" w:hAnsi="Times New Roman" w:eastAsia="楷体" w:cs="Times New Roman"/>
          <w:color w:val="000000"/>
          <w:sz w:val="28"/>
          <w:szCs w:val="28"/>
        </w:rPr>
        <w:t>，促进青年教师的成长成才。</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4.</w:t>
      </w:r>
      <w:r>
        <w:rPr>
          <w:rFonts w:ascii="Times New Roman" w:hAnsi="Times New Roman" w:eastAsia="楷体" w:cs="Times New Roman"/>
          <w:b/>
          <w:bCs/>
          <w:color w:val="000000"/>
          <w:sz w:val="28"/>
          <w:szCs w:val="28"/>
        </w:rPr>
        <w:t>深化人事制度改革</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在人员分类管理的基础上，积极推行按需设岗、调整岗位类型和数量，建立灵活的用人机制</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实施青年教师导师制，充分发挥优秀老教师的“传、帮、带”作用</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开展各类讲课比赛和教学水平评价，促进青年教师教学能力的提高。</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5.教师队伍建设成效</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2018年中心教师获陕西首届高校课堂教学创新大赛三等奖1名，</w:t>
      </w:r>
      <w:r>
        <w:rPr>
          <w:rFonts w:ascii="Times New Roman" w:hAnsi="Times New Roman" w:eastAsia="楷体" w:cs="Times New Roman"/>
          <w:color w:val="000000"/>
          <w:sz w:val="28"/>
          <w:szCs w:val="28"/>
        </w:rPr>
        <w:t>获</w:t>
      </w:r>
      <w:r>
        <w:rPr>
          <w:rFonts w:hint="eastAsia" w:ascii="Times New Roman" w:hAnsi="Times New Roman" w:eastAsia="楷体" w:cs="Times New Roman"/>
          <w:color w:val="000000"/>
          <w:sz w:val="28"/>
          <w:szCs w:val="28"/>
        </w:rPr>
        <w:t>学校</w:t>
      </w:r>
      <w:r>
        <w:rPr>
          <w:rFonts w:ascii="Times New Roman" w:hAnsi="Times New Roman" w:eastAsia="楷体" w:cs="Times New Roman"/>
          <w:color w:val="000000"/>
          <w:sz w:val="28"/>
          <w:szCs w:val="28"/>
        </w:rPr>
        <w:t>青年教师讲课比赛一等奖1人、</w:t>
      </w:r>
      <w:r>
        <w:rPr>
          <w:rFonts w:hint="eastAsia" w:ascii="Times New Roman" w:hAnsi="Times New Roman" w:eastAsia="楷体" w:cs="Times New Roman"/>
          <w:color w:val="000000"/>
          <w:sz w:val="28"/>
          <w:szCs w:val="28"/>
        </w:rPr>
        <w:t>二等奖2人、</w:t>
      </w:r>
      <w:r>
        <w:rPr>
          <w:rFonts w:ascii="Times New Roman" w:hAnsi="Times New Roman" w:eastAsia="楷体" w:cs="Times New Roman"/>
          <w:color w:val="000000"/>
          <w:sz w:val="28"/>
          <w:szCs w:val="28"/>
        </w:rPr>
        <w:t>三等奖2人</w:t>
      </w:r>
      <w:r>
        <w:rPr>
          <w:rFonts w:hint="eastAsia" w:ascii="Times New Roman" w:hAnsi="Times New Roman" w:eastAsia="楷体" w:cs="Times New Roman"/>
          <w:color w:val="000000"/>
          <w:sz w:val="28"/>
          <w:szCs w:val="28"/>
        </w:rPr>
        <w:t>，校微课教学比赛二等奖1人、三等奖2人。刘小林、杨增岐获2018年度宝钢优秀教师；吴江维获陕西青年科技奖、陕西青年科技标兵称号。中心有2名教师晋升正高职称，3名教师晋升二级教授，7名教师晋升三级教授。选派2人分别赴</w:t>
      </w:r>
      <w:r>
        <w:rPr>
          <w:rFonts w:ascii="Times New Roman" w:hAnsi="Times New Roman" w:eastAsia="楷体" w:cs="Times New Roman"/>
          <w:color w:val="000000"/>
          <w:sz w:val="28"/>
          <w:szCs w:val="28"/>
        </w:rPr>
        <w:t>新疆农业大学和石河子大学挂职</w:t>
      </w:r>
      <w:r>
        <w:rPr>
          <w:rFonts w:hint="eastAsia" w:ascii="Times New Roman" w:hAnsi="Times New Roman" w:eastAsia="楷体" w:cs="Times New Roman"/>
          <w:color w:val="000000"/>
          <w:sz w:val="28"/>
          <w:szCs w:val="28"/>
        </w:rPr>
        <w:t>，1人挂职海原县副县长</w:t>
      </w:r>
      <w:r>
        <w:rPr>
          <w:rFonts w:hint="eastAsia" w:ascii="微软雅黑" w:hAnsi="微软雅黑" w:eastAsia="微软雅黑" w:cs="微软雅黑"/>
          <w:color w:val="000000"/>
          <w:sz w:val="28"/>
          <w:szCs w:val="28"/>
        </w:rPr>
        <w:t>，</w:t>
      </w:r>
      <w:r>
        <w:rPr>
          <w:rFonts w:hint="eastAsia" w:ascii="Times New Roman" w:hAnsi="Times New Roman" w:eastAsia="楷体" w:cs="Times New Roman"/>
          <w:color w:val="000000"/>
          <w:sz w:val="28"/>
          <w:szCs w:val="28"/>
        </w:rPr>
        <w:t>选派13名教师出国访学提高教学科研水平。</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四、信息化建设、开放运行和示范辐射</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（一）信息化资源、平台建设，人员信息化能力提升等情况</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中心网站管理与维护由</w:t>
      </w:r>
      <w:r>
        <w:rPr>
          <w:rFonts w:hint="eastAsia" w:ascii="Times New Roman" w:hAnsi="Times New Roman" w:eastAsia="楷体" w:cs="Times New Roman"/>
          <w:color w:val="000000"/>
          <w:sz w:val="28"/>
          <w:szCs w:val="28"/>
        </w:rPr>
        <w:t>专人</w:t>
      </w:r>
      <w:r>
        <w:rPr>
          <w:rFonts w:ascii="Times New Roman" w:hAnsi="Times New Roman" w:eastAsia="楷体" w:cs="Times New Roman"/>
          <w:color w:val="000000"/>
          <w:sz w:val="28"/>
          <w:szCs w:val="28"/>
        </w:rPr>
        <w:t>负责，学校网络教学平台</w:t>
      </w:r>
      <w:r>
        <w:rPr>
          <w:rFonts w:hint="eastAsia" w:ascii="Times New Roman" w:hAnsi="Times New Roman" w:eastAsia="楷体" w:cs="Times New Roman"/>
          <w:color w:val="000000"/>
          <w:sz w:val="28"/>
          <w:szCs w:val="28"/>
        </w:rPr>
        <w:t>的</w:t>
      </w:r>
      <w:r>
        <w:rPr>
          <w:rFonts w:ascii="Times New Roman" w:hAnsi="Times New Roman" w:eastAsia="楷体" w:cs="Times New Roman"/>
          <w:color w:val="000000"/>
          <w:sz w:val="28"/>
          <w:szCs w:val="28"/>
        </w:rPr>
        <w:t>教学资源和教学活动由</w:t>
      </w:r>
      <w:r>
        <w:rPr>
          <w:rFonts w:hint="eastAsia" w:ascii="Times New Roman" w:hAnsi="Times New Roman" w:eastAsia="楷体" w:cs="Times New Roman"/>
          <w:color w:val="000000"/>
          <w:sz w:val="28"/>
          <w:szCs w:val="28"/>
        </w:rPr>
        <w:t>中心</w:t>
      </w:r>
      <w:r>
        <w:rPr>
          <w:rFonts w:ascii="Times New Roman" w:hAnsi="Times New Roman" w:eastAsia="楷体" w:cs="Times New Roman"/>
          <w:color w:val="000000"/>
          <w:sz w:val="28"/>
          <w:szCs w:val="28"/>
        </w:rPr>
        <w:t>教师负责建设和管理。中心获批</w:t>
      </w:r>
      <w:bookmarkStart w:id="2" w:name="OLE_LINK136"/>
      <w:bookmarkStart w:id="3" w:name="OLE_LINK135"/>
      <w:r>
        <w:rPr>
          <w:rFonts w:ascii="Times New Roman" w:hAnsi="Times New Roman" w:eastAsia="楷体" w:cs="Times New Roman"/>
          <w:color w:val="000000"/>
          <w:sz w:val="28"/>
          <w:szCs w:val="28"/>
        </w:rPr>
        <w:t>2门国家级精品课程、2门国家级精品视频公开课</w:t>
      </w:r>
      <w:r>
        <w:rPr>
          <w:rFonts w:hint="eastAsia" w:ascii="Times New Roman" w:hAnsi="Times New Roman" w:eastAsia="楷体" w:cs="Times New Roman"/>
          <w:color w:val="000000"/>
          <w:sz w:val="28"/>
          <w:szCs w:val="28"/>
        </w:rPr>
        <w:t>、1门省级在线课程，</w:t>
      </w:r>
      <w:r>
        <w:rPr>
          <w:rFonts w:ascii="Times New Roman" w:hAnsi="Times New Roman" w:eastAsia="楷体" w:cs="Times New Roman"/>
          <w:color w:val="000000"/>
          <w:sz w:val="28"/>
          <w:szCs w:val="28"/>
        </w:rPr>
        <w:t>已完成全程视频教学资源上网</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建立</w:t>
      </w:r>
      <w:r>
        <w:rPr>
          <w:rFonts w:hint="eastAsia" w:ascii="Times New Roman" w:hAnsi="Times New Roman" w:eastAsia="楷体" w:cs="Times New Roman"/>
          <w:color w:val="000000"/>
          <w:sz w:val="28"/>
          <w:szCs w:val="28"/>
        </w:rPr>
        <w:t>动物</w:t>
      </w:r>
      <w:r>
        <w:rPr>
          <w:rFonts w:ascii="Times New Roman" w:hAnsi="Times New Roman" w:eastAsia="楷体" w:cs="Times New Roman"/>
          <w:color w:val="000000"/>
          <w:sz w:val="28"/>
          <w:szCs w:val="28"/>
        </w:rPr>
        <w:t>手术多媒体系统，可</w:t>
      </w:r>
      <w:r>
        <w:rPr>
          <w:rFonts w:hint="eastAsia" w:ascii="Times New Roman" w:hAnsi="Times New Roman" w:eastAsia="楷体" w:cs="Times New Roman"/>
          <w:color w:val="000000"/>
          <w:sz w:val="28"/>
          <w:szCs w:val="28"/>
        </w:rPr>
        <w:t>同时</w:t>
      </w:r>
      <w:r>
        <w:rPr>
          <w:rFonts w:ascii="Times New Roman" w:hAnsi="Times New Roman" w:eastAsia="楷体" w:cs="Times New Roman"/>
          <w:color w:val="000000"/>
          <w:sz w:val="28"/>
          <w:szCs w:val="28"/>
        </w:rPr>
        <w:t>用于60名学生的兽医外科手术演示教学；</w:t>
      </w:r>
      <w:bookmarkEnd w:id="2"/>
      <w:bookmarkEnd w:id="3"/>
      <w:r>
        <w:rPr>
          <w:rFonts w:ascii="Times New Roman" w:hAnsi="Times New Roman" w:eastAsia="楷体" w:cs="Times New Roman"/>
          <w:color w:val="000000"/>
          <w:sz w:val="28"/>
          <w:szCs w:val="28"/>
        </w:rPr>
        <w:t>已完成17项优质课程建设项目，大大提高实验实践教学资源的有效共享与利用效果。</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2018年继续做好陕西省动物医学虚拟仿真实验教学中心建设，现有</w:t>
      </w:r>
      <w:r>
        <w:rPr>
          <w:rFonts w:ascii="Times New Roman" w:hAnsi="Times New Roman" w:eastAsia="楷体" w:cs="Times New Roman"/>
          <w:color w:val="000000"/>
          <w:sz w:val="28"/>
          <w:szCs w:val="28"/>
        </w:rPr>
        <w:t>虚拟仿真实验项目6项</w:t>
      </w:r>
      <w:r>
        <w:rPr>
          <w:rFonts w:hint="eastAsia" w:ascii="Times New Roman" w:hAnsi="Times New Roman" w:eastAsia="楷体" w:cs="Times New Roman"/>
          <w:color w:val="000000"/>
          <w:sz w:val="28"/>
          <w:szCs w:val="28"/>
        </w:rPr>
        <w:t>，新获批项目2项</w:t>
      </w:r>
      <w:r>
        <w:rPr>
          <w:rFonts w:ascii="Times New Roman" w:hAnsi="Times New Roman" w:eastAsia="楷体" w:cs="Times New Roman"/>
          <w:color w:val="000000"/>
          <w:sz w:val="28"/>
          <w:szCs w:val="28"/>
        </w:rPr>
        <w:t>，配套建设实验教学图片资源库、视频教学资源等</w:t>
      </w:r>
      <w:r>
        <w:rPr>
          <w:rFonts w:hint="eastAsia" w:ascii="Times New Roman" w:hAnsi="Times New Roman" w:eastAsia="楷体" w:cs="Times New Roman"/>
          <w:color w:val="000000"/>
          <w:sz w:val="28"/>
          <w:szCs w:val="28"/>
        </w:rPr>
        <w:t>。</w:t>
      </w:r>
    </w:p>
    <w:p>
      <w:pPr>
        <w:ind w:firstLine="560" w:firstLineChars="200"/>
        <w:rPr>
          <w:rFonts w:ascii="Times New Roman" w:hAnsi="Times New Roman" w:eastAsia="楷体" w:cs="Times New Roman"/>
          <w:color w:val="000000"/>
          <w:sz w:val="28"/>
          <w:szCs w:val="28"/>
        </w:rPr>
      </w:pPr>
      <w:bookmarkStart w:id="4" w:name="OLE_LINK138"/>
      <w:bookmarkStart w:id="5" w:name="OLE_LINK137"/>
      <w:r>
        <w:rPr>
          <w:rFonts w:ascii="Times New Roman" w:hAnsi="Times New Roman" w:eastAsia="楷体" w:cs="Times New Roman"/>
          <w:color w:val="000000"/>
          <w:sz w:val="28"/>
          <w:szCs w:val="28"/>
        </w:rPr>
        <w:t>中心教师积极参与微课教学改革和学校开展的“千门课程上网工程”，建设电子化教学资源。目前，</w:t>
      </w:r>
      <w:r>
        <w:rPr>
          <w:rFonts w:hint="eastAsia" w:ascii="Times New Roman" w:hAnsi="Times New Roman" w:eastAsia="楷体" w:cs="Times New Roman"/>
          <w:color w:val="000000"/>
          <w:sz w:val="28"/>
          <w:szCs w:val="28"/>
        </w:rPr>
        <w:t>90%</w:t>
      </w:r>
      <w:r>
        <w:rPr>
          <w:rFonts w:ascii="Times New Roman" w:hAnsi="Times New Roman" w:eastAsia="楷体" w:cs="Times New Roman"/>
          <w:color w:val="000000"/>
          <w:sz w:val="28"/>
          <w:szCs w:val="28"/>
        </w:rPr>
        <w:t>课程</w:t>
      </w:r>
      <w:r>
        <w:rPr>
          <w:rFonts w:hint="eastAsia" w:ascii="Times New Roman" w:hAnsi="Times New Roman" w:eastAsia="楷体" w:cs="Times New Roman"/>
          <w:color w:val="000000"/>
          <w:sz w:val="28"/>
          <w:szCs w:val="28"/>
        </w:rPr>
        <w:t>资源</w:t>
      </w:r>
      <w:r>
        <w:rPr>
          <w:rFonts w:ascii="Times New Roman" w:hAnsi="Times New Roman" w:eastAsia="楷体" w:cs="Times New Roman"/>
          <w:color w:val="000000"/>
          <w:sz w:val="28"/>
          <w:szCs w:val="28"/>
        </w:rPr>
        <w:t>已上网</w:t>
      </w:r>
      <w:bookmarkEnd w:id="4"/>
      <w:bookmarkEnd w:id="5"/>
      <w:r>
        <w:rPr>
          <w:rFonts w:ascii="Times New Roman" w:hAnsi="Times New Roman" w:eastAsia="楷体" w:cs="Times New Roman"/>
          <w:color w:val="000000"/>
          <w:sz w:val="28"/>
          <w:szCs w:val="28"/>
        </w:rPr>
        <w:t>，并通过与学校网络辅助教学平台连接，实现课程资源共享，师生互动交流等，做到了中心网站和学校实验实践教学资源的有效共享与利用。</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（二）开放运行、安全运行等情况</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中心实行全开放式运行管理，</w:t>
      </w:r>
      <w:r>
        <w:rPr>
          <w:rFonts w:hint="eastAsia" w:ascii="Times New Roman" w:hAnsi="Times New Roman" w:eastAsia="楷体" w:cs="Times New Roman"/>
          <w:color w:val="000000"/>
          <w:sz w:val="28"/>
          <w:szCs w:val="28"/>
        </w:rPr>
        <w:t>本科生和</w:t>
      </w:r>
      <w:r>
        <w:rPr>
          <w:rFonts w:ascii="Times New Roman" w:hAnsi="Times New Roman" w:eastAsia="楷体" w:cs="Times New Roman"/>
          <w:color w:val="000000"/>
          <w:sz w:val="28"/>
          <w:szCs w:val="28"/>
        </w:rPr>
        <w:t>研究生</w:t>
      </w:r>
      <w:r>
        <w:rPr>
          <w:rFonts w:hint="eastAsia" w:ascii="Times New Roman" w:hAnsi="Times New Roman" w:eastAsia="楷体" w:cs="Times New Roman"/>
          <w:color w:val="000000"/>
          <w:sz w:val="28"/>
          <w:szCs w:val="28"/>
        </w:rPr>
        <w:t>在中心任何实验室都可进行实验实践活动。本年度在研各类教改项目23项，获批大学生科技创新项目97项，发表学术论文</w:t>
      </w:r>
      <w:r>
        <w:rPr>
          <w:rFonts w:hint="eastAsia" w:ascii="Times New Roman" w:hAnsi="Times New Roman" w:eastAsia="楷体" w:cs="Times New Roman"/>
          <w:sz w:val="28"/>
          <w:szCs w:val="28"/>
        </w:rPr>
        <w:t>568篇，其中本科生发表学术论文86篇</w:t>
      </w:r>
      <w:r>
        <w:rPr>
          <w:rFonts w:hint="eastAsia" w:ascii="Times New Roman" w:hAnsi="Times New Roman" w:eastAsia="楷体" w:cs="Times New Roman"/>
          <w:color w:val="000000"/>
          <w:sz w:val="28"/>
          <w:szCs w:val="28"/>
        </w:rPr>
        <w:t>，获省部级以上创新创业奖46项</w:t>
      </w:r>
      <w:r>
        <w:rPr>
          <w:rFonts w:ascii="Times New Roman" w:hAnsi="Times New Roman" w:eastAsia="楷体" w:cs="Times New Roman"/>
          <w:color w:val="000000"/>
          <w:sz w:val="28"/>
          <w:szCs w:val="28"/>
        </w:rPr>
        <w:t>。</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的</w:t>
      </w:r>
      <w:r>
        <w:rPr>
          <w:rFonts w:ascii="Times New Roman" w:hAnsi="Times New Roman" w:eastAsia="楷体" w:cs="Times New Roman"/>
          <w:color w:val="000000"/>
          <w:sz w:val="28"/>
          <w:szCs w:val="28"/>
        </w:rPr>
        <w:t>大型仪器通过学校大型仪器设备共享平台</w:t>
      </w:r>
      <w:r>
        <w:rPr>
          <w:rFonts w:hint="eastAsia" w:ascii="Times New Roman" w:hAnsi="Times New Roman" w:eastAsia="楷体" w:cs="Times New Roman"/>
          <w:color w:val="000000"/>
          <w:sz w:val="28"/>
          <w:szCs w:val="28"/>
        </w:rPr>
        <w:t>向全校和社会开放</w:t>
      </w:r>
      <w:r>
        <w:rPr>
          <w:rFonts w:ascii="Times New Roman" w:hAnsi="Times New Roman" w:eastAsia="楷体" w:cs="Times New Roman"/>
          <w:color w:val="000000"/>
          <w:sz w:val="28"/>
          <w:szCs w:val="28"/>
        </w:rPr>
        <w:t>，实现了“资源共享”。</w:t>
      </w:r>
      <w:r>
        <w:rPr>
          <w:rFonts w:hint="eastAsia" w:ascii="Times New Roman" w:hAnsi="Times New Roman" w:eastAsia="楷体" w:cs="Times New Roman"/>
          <w:color w:val="000000"/>
          <w:sz w:val="28"/>
          <w:szCs w:val="28"/>
        </w:rPr>
        <w:t>共享</w:t>
      </w:r>
      <w:r>
        <w:rPr>
          <w:rFonts w:ascii="Times New Roman" w:hAnsi="Times New Roman" w:eastAsia="楷体" w:cs="Times New Roman"/>
          <w:color w:val="000000"/>
          <w:sz w:val="28"/>
          <w:szCs w:val="28"/>
        </w:rPr>
        <w:t>仪器名称、简介</w:t>
      </w:r>
      <w:r>
        <w:rPr>
          <w:rFonts w:hint="eastAsia" w:ascii="Times New Roman" w:hAnsi="Times New Roman" w:eastAsia="楷体" w:cs="Times New Roman"/>
          <w:color w:val="000000"/>
          <w:sz w:val="28"/>
          <w:szCs w:val="28"/>
        </w:rPr>
        <w:t>、存放地点、管理人</w:t>
      </w:r>
      <w:r>
        <w:rPr>
          <w:rFonts w:ascii="Times New Roman" w:hAnsi="Times New Roman" w:eastAsia="楷体" w:cs="Times New Roman"/>
          <w:color w:val="000000"/>
          <w:sz w:val="28"/>
          <w:szCs w:val="28"/>
        </w:rPr>
        <w:t>和使用方法均在网上公布，使用者</w:t>
      </w:r>
      <w:r>
        <w:rPr>
          <w:rFonts w:hint="eastAsia" w:ascii="Times New Roman" w:hAnsi="Times New Roman" w:eastAsia="楷体" w:cs="Times New Roman"/>
          <w:color w:val="000000"/>
          <w:sz w:val="28"/>
          <w:szCs w:val="28"/>
        </w:rPr>
        <w:t>在</w:t>
      </w:r>
      <w:r>
        <w:rPr>
          <w:rFonts w:ascii="Times New Roman" w:hAnsi="Times New Roman" w:eastAsia="楷体" w:cs="Times New Roman"/>
          <w:color w:val="000000"/>
          <w:sz w:val="28"/>
          <w:szCs w:val="28"/>
        </w:rPr>
        <w:t>网上完成仪器预约</w:t>
      </w:r>
      <w:r>
        <w:rPr>
          <w:rFonts w:hint="eastAsia" w:ascii="Times New Roman" w:hAnsi="Times New Roman" w:eastAsia="楷体" w:cs="Times New Roman"/>
          <w:color w:val="000000"/>
          <w:sz w:val="28"/>
          <w:szCs w:val="28"/>
        </w:rPr>
        <w:t>，按预约时间进行使用</w:t>
      </w:r>
      <w:r>
        <w:rPr>
          <w:rFonts w:ascii="Times New Roman" w:hAnsi="Times New Roman" w:eastAsia="楷体" w:cs="Times New Roman"/>
          <w:color w:val="000000"/>
          <w:sz w:val="28"/>
          <w:szCs w:val="28"/>
        </w:rPr>
        <w:t>。每台仪器都有使用记录本，登记使用单位和人员等情况</w:t>
      </w:r>
      <w:r>
        <w:rPr>
          <w:rFonts w:hint="eastAsia" w:ascii="Times New Roman" w:hAnsi="Times New Roman" w:eastAsia="楷体" w:cs="Times New Roman"/>
          <w:color w:val="000000"/>
          <w:sz w:val="28"/>
          <w:szCs w:val="28"/>
        </w:rPr>
        <w:t>。中心所有设备</w:t>
      </w:r>
      <w:r>
        <w:rPr>
          <w:rFonts w:ascii="Times New Roman" w:hAnsi="Times New Roman" w:eastAsia="楷体" w:cs="Times New Roman"/>
          <w:color w:val="000000"/>
          <w:sz w:val="28"/>
          <w:szCs w:val="28"/>
        </w:rPr>
        <w:t>完好率</w:t>
      </w:r>
      <w:r>
        <w:rPr>
          <w:rFonts w:hint="eastAsia" w:ascii="Times New Roman" w:hAnsi="Times New Roman" w:eastAsia="楷体" w:cs="Times New Roman"/>
          <w:color w:val="000000"/>
          <w:sz w:val="28"/>
          <w:szCs w:val="28"/>
        </w:rPr>
        <w:t>100%</w:t>
      </w:r>
      <w:r>
        <w:rPr>
          <w:rFonts w:ascii="Times New Roman" w:hAnsi="Times New Roman" w:eastAsia="楷体" w:cs="Times New Roman"/>
          <w:color w:val="000000"/>
          <w:sz w:val="28"/>
          <w:szCs w:val="28"/>
        </w:rPr>
        <w:t>。</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中心实行进入实验室安全培训考试，签订安全责任书，</w:t>
      </w:r>
      <w:r>
        <w:rPr>
          <w:rFonts w:ascii="Times New Roman" w:hAnsi="Times New Roman" w:eastAsia="楷体" w:cs="Times New Roman"/>
          <w:color w:val="000000"/>
          <w:sz w:val="28"/>
          <w:szCs w:val="28"/>
        </w:rPr>
        <w:t>开展安全培训活动，</w:t>
      </w:r>
      <w:r>
        <w:rPr>
          <w:rFonts w:hint="eastAsia" w:ascii="Times New Roman" w:hAnsi="Times New Roman" w:eastAsia="楷体" w:cs="Times New Roman"/>
          <w:color w:val="000000"/>
          <w:sz w:val="28"/>
          <w:szCs w:val="28"/>
        </w:rPr>
        <w:t>并定期组织安全检查，</w:t>
      </w:r>
      <w:r>
        <w:rPr>
          <w:rFonts w:ascii="Times New Roman" w:hAnsi="Times New Roman" w:eastAsia="楷体" w:cs="Times New Roman"/>
          <w:color w:val="000000"/>
          <w:sz w:val="28"/>
          <w:szCs w:val="28"/>
        </w:rPr>
        <w:t>全年运行安全，无</w:t>
      </w:r>
      <w:r>
        <w:rPr>
          <w:rFonts w:hint="eastAsia" w:ascii="Times New Roman" w:hAnsi="Times New Roman" w:eastAsia="楷体" w:cs="Times New Roman"/>
          <w:color w:val="000000"/>
          <w:sz w:val="28"/>
          <w:szCs w:val="28"/>
        </w:rPr>
        <w:t>安全</w:t>
      </w:r>
      <w:r>
        <w:rPr>
          <w:rFonts w:ascii="Times New Roman" w:hAnsi="Times New Roman" w:eastAsia="楷体" w:cs="Times New Roman"/>
          <w:color w:val="000000"/>
          <w:sz w:val="28"/>
          <w:szCs w:val="28"/>
        </w:rPr>
        <w:t>事故发生。</w:t>
      </w:r>
    </w:p>
    <w:p>
      <w:pPr>
        <w:rPr>
          <w:rFonts w:ascii="Times New Roman" w:hAnsi="Times New Roman" w:eastAsia="楷体" w:cs="Times New Roman"/>
          <w:color w:val="000000"/>
          <w:sz w:val="28"/>
          <w:szCs w:val="28"/>
        </w:rPr>
      </w:pPr>
      <w:r>
        <w:rPr>
          <w:rFonts w:ascii="Times New Roman" w:hAnsi="Times New Roman" w:eastAsia="楷体" w:cs="Times New Roman"/>
          <w:b/>
          <w:color w:val="000000"/>
          <w:sz w:val="28"/>
          <w:szCs w:val="28"/>
        </w:rPr>
        <w:t>（三）对外交流、发挥示范引领、支持中西部高校实验教学改革等情况</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1.积极承办国际国内会议和对外交流，提高中心示范引领作用</w:t>
      </w:r>
    </w:p>
    <w:p>
      <w:pPr>
        <w:ind w:firstLine="560" w:firstLineChars="200"/>
        <w:rPr>
          <w:rFonts w:ascii="宋体" w:hAnsi="宋体" w:cs="Times New Roman"/>
          <w:color w:val="000000"/>
          <w:sz w:val="28"/>
          <w:szCs w:val="28"/>
        </w:rPr>
      </w:pPr>
      <w:r>
        <w:rPr>
          <w:rFonts w:hint="eastAsia" w:ascii="Times New Roman" w:hAnsi="Times New Roman" w:eastAsia="楷体" w:cs="Times New Roman"/>
          <w:color w:val="000000"/>
          <w:sz w:val="28"/>
          <w:szCs w:val="28"/>
        </w:rPr>
        <w:t>2018年，中心主办了第二届世界奶山羊产业发展大会、中国西部肉牛产业创新发展论坛、中国西部肉羊产业创新发展论坛、现代动物遗传繁育前沿科技论坛暨陕西省动物遗传育种与繁殖重点实验室学术委员会会议、畜禽消化道稳态营养高峰论坛、中国西部家禽产业创新发展论坛、中国蚕学会学术年会、“2018年杨凌国际农业科技论坛--动物生物技术与健康养殖分论坛”和“国际青年学者论坛动科分学术论坛”等9个国际国内学术研讨会。接待澳大利亚默多克大学、石河子大学、东北农业大学等国内外24所高校研究所的同行专家50余人次来校作学术报告48场次，并观摩实验教学、课堂教学、研讨人才培养方案及实验教学管理。中心选派3名教师分别赴西藏农牧学院、新疆石河子大学、新疆塔里木农业大学进行支边教育。</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2.举办畜牧兽医技术培训，积极助推科技扶贫</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持续抓好现有6个科研推广基地建设，全年举办畜牧兽医技术培训班65期，培训养殖户和技术人员6000余人次，发放各类资料万余份，现场技术培训30</w:t>
      </w:r>
      <w:r>
        <w:rPr>
          <w:rFonts w:ascii="Times New Roman" w:hAnsi="Times New Roman" w:eastAsia="楷体" w:cs="Times New Roman"/>
          <w:color w:val="000000"/>
          <w:sz w:val="28"/>
          <w:szCs w:val="28"/>
        </w:rPr>
        <w:t>场次，培训人员</w:t>
      </w:r>
      <w:r>
        <w:rPr>
          <w:rFonts w:hint="eastAsia" w:ascii="Times New Roman" w:hAnsi="Times New Roman" w:eastAsia="楷体" w:cs="Times New Roman"/>
          <w:color w:val="000000"/>
          <w:sz w:val="28"/>
          <w:szCs w:val="28"/>
        </w:rPr>
        <w:t>4</w:t>
      </w:r>
      <w:r>
        <w:rPr>
          <w:rFonts w:ascii="Times New Roman" w:hAnsi="Times New Roman" w:eastAsia="楷体" w:cs="Times New Roman"/>
          <w:color w:val="000000"/>
          <w:sz w:val="28"/>
          <w:szCs w:val="28"/>
        </w:rPr>
        <w:t>700</w:t>
      </w:r>
      <w:r>
        <w:rPr>
          <w:rFonts w:hint="eastAsia" w:ascii="Times New Roman" w:hAnsi="Times New Roman" w:eastAsia="楷体" w:cs="Times New Roman"/>
          <w:color w:val="000000"/>
          <w:sz w:val="28"/>
          <w:szCs w:val="28"/>
        </w:rPr>
        <w:t>余人，积极助推畜牧科技精准扶贫工作。</w:t>
      </w:r>
    </w:p>
    <w:p>
      <w:pPr>
        <w:rPr>
          <w:rFonts w:ascii="Times New Roman" w:hAnsi="Times New Roman" w:eastAsia="楷体" w:cs="Times New Roman"/>
          <w:b/>
          <w:bCs/>
          <w:color w:val="000000"/>
          <w:sz w:val="28"/>
          <w:szCs w:val="28"/>
        </w:rPr>
      </w:pPr>
      <w:r>
        <w:rPr>
          <w:rFonts w:hint="eastAsia" w:ascii="Times New Roman" w:hAnsi="Times New Roman" w:eastAsia="楷体" w:cs="Times New Roman"/>
          <w:b/>
          <w:bCs/>
          <w:color w:val="000000"/>
          <w:sz w:val="28"/>
          <w:szCs w:val="28"/>
        </w:rPr>
        <w:t>3.带动一带一路国家畜牧业发展，示范引领动物科学专业发展</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杨雨鑫副教授应邀于</w:t>
      </w:r>
      <w:r>
        <w:rPr>
          <w:rFonts w:ascii="Times New Roman" w:hAnsi="Times New Roman" w:eastAsia="楷体" w:cs="Times New Roman"/>
          <w:color w:val="000000"/>
          <w:sz w:val="28"/>
          <w:szCs w:val="28"/>
        </w:rPr>
        <w:t>11</w:t>
      </w:r>
      <w:r>
        <w:rPr>
          <w:rFonts w:hint="eastAsia" w:ascii="Times New Roman" w:hAnsi="Times New Roman" w:eastAsia="楷体" w:cs="Times New Roman"/>
          <w:color w:val="000000"/>
          <w:sz w:val="28"/>
          <w:szCs w:val="28"/>
        </w:rPr>
        <w:t>月</w:t>
      </w:r>
      <w:r>
        <w:rPr>
          <w:rFonts w:ascii="Times New Roman" w:hAnsi="Times New Roman" w:eastAsia="楷体" w:cs="Times New Roman"/>
          <w:color w:val="000000"/>
          <w:sz w:val="28"/>
          <w:szCs w:val="28"/>
        </w:rPr>
        <w:t>21</w:t>
      </w:r>
      <w:r>
        <w:rPr>
          <w:rFonts w:hint="eastAsia" w:ascii="Times New Roman" w:hAnsi="Times New Roman" w:eastAsia="楷体" w:cs="Times New Roman"/>
          <w:color w:val="000000"/>
          <w:sz w:val="28"/>
          <w:szCs w:val="28"/>
        </w:rPr>
        <w:t>日至</w:t>
      </w:r>
      <w:r>
        <w:rPr>
          <w:rFonts w:ascii="Times New Roman" w:hAnsi="Times New Roman" w:eastAsia="楷体" w:cs="Times New Roman"/>
          <w:color w:val="000000"/>
          <w:sz w:val="28"/>
          <w:szCs w:val="28"/>
        </w:rPr>
        <w:t>12</w:t>
      </w:r>
      <w:r>
        <w:rPr>
          <w:rFonts w:hint="eastAsia" w:ascii="Times New Roman" w:hAnsi="Times New Roman" w:eastAsia="楷体" w:cs="Times New Roman"/>
          <w:color w:val="000000"/>
          <w:sz w:val="28"/>
          <w:szCs w:val="28"/>
        </w:rPr>
        <w:t>月</w:t>
      </w:r>
      <w:r>
        <w:rPr>
          <w:rFonts w:ascii="Times New Roman" w:hAnsi="Times New Roman" w:eastAsia="楷体" w:cs="Times New Roman"/>
          <w:color w:val="000000"/>
          <w:sz w:val="28"/>
          <w:szCs w:val="28"/>
        </w:rPr>
        <w:t>19</w:t>
      </w:r>
      <w:r>
        <w:rPr>
          <w:rFonts w:hint="eastAsia" w:ascii="Times New Roman" w:hAnsi="Times New Roman" w:eastAsia="楷体" w:cs="Times New Roman"/>
          <w:color w:val="000000"/>
          <w:sz w:val="28"/>
          <w:szCs w:val="28"/>
        </w:rPr>
        <w:t>日为哈萨克斯坦北哈州立大学的本科生、研究生讲授《动物生产学》，对帮助“一带一路”国家畜牧业发展奠定了良好基础。中心还接收</w:t>
      </w:r>
      <w:r>
        <w:rPr>
          <w:rFonts w:ascii="Times New Roman" w:hAnsi="Times New Roman" w:eastAsia="楷体" w:cs="Times New Roman"/>
          <w:color w:val="000000"/>
          <w:sz w:val="28"/>
          <w:szCs w:val="28"/>
        </w:rPr>
        <w:t>2</w:t>
      </w:r>
      <w:r>
        <w:rPr>
          <w:rFonts w:hint="eastAsia" w:ascii="Times New Roman" w:hAnsi="Times New Roman" w:eastAsia="楷体" w:cs="Times New Roman"/>
          <w:color w:val="000000"/>
          <w:sz w:val="28"/>
          <w:szCs w:val="28"/>
        </w:rPr>
        <w:t>名北哈国立大学动物科学专业本科生来访学。</w:t>
      </w:r>
    </w:p>
    <w:p>
      <w:pP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五、示范中心大事记</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（一）有关媒体对示范中心的重要评价（附相应文字和图片资料）</w:t>
      </w:r>
    </w:p>
    <w:p>
      <w:pPr>
        <w:ind w:firstLine="480" w:firstLineChars="200"/>
        <w:jc w:val="center"/>
        <w:rPr>
          <w:rFonts w:ascii="Times New Roman" w:hAnsi="Times New Roman" w:eastAsia="楷体" w:cs="Times New Roman"/>
          <w:b/>
          <w:color w:val="000000"/>
          <w:sz w:val="28"/>
          <w:szCs w:val="28"/>
        </w:rPr>
      </w:pPr>
      <w:r>
        <w:drawing>
          <wp:inline distT="0" distB="0" distL="114300" distR="114300">
            <wp:extent cx="4361180" cy="2771775"/>
            <wp:effectExtent l="19050" t="0" r="1193" b="0"/>
            <wp:docPr id="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7"/>
                    <pic:cNvPicPr>
                      <a:picLocks noChangeAspect="1"/>
                    </pic:cNvPicPr>
                  </pic:nvPicPr>
                  <pic:blipFill>
                    <a:blip r:embed="rId6" cstate="print"/>
                    <a:stretch>
                      <a:fillRect/>
                    </a:stretch>
                  </pic:blipFill>
                  <pic:spPr>
                    <a:xfrm>
                      <a:off x="0" y="0"/>
                      <a:ext cx="4361257" cy="2771775"/>
                    </a:xfrm>
                    <a:prstGeom prst="rect">
                      <a:avLst/>
                    </a:prstGeom>
                    <a:noFill/>
                    <a:ln w="9525">
                      <a:noFill/>
                    </a:ln>
                  </pic:spPr>
                </pic:pic>
              </a:graphicData>
            </a:graphic>
          </wp:inline>
        </w:drawing>
      </w:r>
    </w:p>
    <w:p>
      <w:pPr>
        <w:ind w:firstLine="360" w:firstLineChars="200"/>
        <w:jc w:val="center"/>
        <w:rPr>
          <w:rFonts w:ascii="宋体" w:hAnsi="宋体"/>
          <w:kern w:val="36"/>
          <w:sz w:val="18"/>
          <w:szCs w:val="18"/>
        </w:rPr>
      </w:pPr>
    </w:p>
    <w:p>
      <w:pPr>
        <w:ind w:firstLine="360" w:firstLineChars="200"/>
        <w:jc w:val="center"/>
        <w:rPr>
          <w:rFonts w:ascii="宋体" w:hAnsi="宋体"/>
          <w:b/>
          <w:bCs/>
          <w:color w:val="0C600C"/>
          <w:kern w:val="36"/>
          <w:sz w:val="18"/>
          <w:szCs w:val="18"/>
        </w:rPr>
      </w:pPr>
      <w:r>
        <w:rPr>
          <w:rFonts w:hint="eastAsia" w:ascii="宋体" w:hAnsi="宋体"/>
          <w:kern w:val="36"/>
          <w:sz w:val="18"/>
          <w:szCs w:val="18"/>
        </w:rPr>
        <w:t>曹斌云：世界羊奶看中国 中国羊奶看陕西</w:t>
      </w:r>
      <w:r>
        <w:rPr>
          <w:rFonts w:ascii="宋体" w:hAnsi="宋体"/>
          <w:sz w:val="18"/>
          <w:szCs w:val="18"/>
        </w:rPr>
        <w:t>《中国食品报网》</w:t>
      </w:r>
      <w:r>
        <w:rPr>
          <w:rFonts w:hint="eastAsia" w:ascii="宋体" w:hAnsi="宋体"/>
          <w:kern w:val="36"/>
          <w:sz w:val="18"/>
          <w:szCs w:val="18"/>
        </w:rPr>
        <w:t>）</w:t>
      </w:r>
    </w:p>
    <w:p>
      <w:pPr>
        <w:ind w:firstLine="480" w:firstLineChars="200"/>
        <w:jc w:val="center"/>
        <w:rPr>
          <w:rFonts w:ascii="宋体" w:hAnsi="宋体"/>
          <w:b/>
          <w:bCs/>
          <w:color w:val="0C600C"/>
          <w:kern w:val="36"/>
          <w:sz w:val="15"/>
          <w:szCs w:val="15"/>
        </w:rPr>
      </w:pPr>
      <w:r>
        <w:drawing>
          <wp:inline distT="0" distB="0" distL="114300" distR="114300">
            <wp:extent cx="3662680" cy="2199005"/>
            <wp:effectExtent l="0" t="0" r="13970" b="1079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7" cstate="print"/>
                    <a:stretch>
                      <a:fillRect/>
                    </a:stretch>
                  </pic:blipFill>
                  <pic:spPr>
                    <a:xfrm>
                      <a:off x="0" y="0"/>
                      <a:ext cx="3662680" cy="2199005"/>
                    </a:xfrm>
                    <a:prstGeom prst="rect">
                      <a:avLst/>
                    </a:prstGeom>
                    <a:noFill/>
                    <a:ln w="9525">
                      <a:noFill/>
                    </a:ln>
                  </pic:spPr>
                </pic:pic>
              </a:graphicData>
            </a:graphic>
          </wp:inline>
        </w:drawing>
      </w:r>
    </w:p>
    <w:p>
      <w:pPr>
        <w:ind w:firstLine="360" w:firstLineChars="200"/>
        <w:jc w:val="center"/>
        <w:rPr>
          <w:rFonts w:ascii="宋体" w:hAnsi="宋体"/>
          <w:kern w:val="36"/>
          <w:sz w:val="18"/>
          <w:szCs w:val="18"/>
        </w:rPr>
      </w:pPr>
      <w:r>
        <w:rPr>
          <w:rFonts w:hint="eastAsia" w:ascii="宋体" w:hAnsi="宋体"/>
          <w:kern w:val="36"/>
          <w:sz w:val="18"/>
          <w:szCs w:val="18"/>
        </w:rPr>
        <w:t>第二届世界奶山羊产业发展大会在陕西富平召开（农民日报）</w:t>
      </w:r>
    </w:p>
    <w:p>
      <w:pPr>
        <w:ind w:firstLine="420" w:firstLineChars="200"/>
        <w:jc w:val="center"/>
        <w:rPr>
          <w:rFonts w:ascii="Times New Roman" w:hAnsi="Times New Roman" w:eastAsia="楷体" w:cs="Times New Roman"/>
          <w:sz w:val="28"/>
          <w:szCs w:val="28"/>
        </w:rPr>
      </w:pPr>
      <w:r>
        <w:rPr>
          <w:rFonts w:hint="eastAsia" w:ascii="ˎ̥" w:hAnsi="ˎ̥"/>
          <w:sz w:val="21"/>
          <w:szCs w:val="21"/>
        </w:rPr>
        <w:drawing>
          <wp:inline distT="0" distB="0" distL="114300" distR="114300">
            <wp:extent cx="3023870" cy="1701800"/>
            <wp:effectExtent l="19050" t="0" r="5080" b="0"/>
            <wp:docPr id="3" name="图片 14" descr="http://p1.pstatp.com/large/pgc-image/1530591434781af43be8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http://p1.pstatp.com/large/pgc-image/1530591434781af43be8db3"/>
                    <pic:cNvPicPr>
                      <a:picLocks noChangeAspect="1"/>
                    </pic:cNvPicPr>
                  </pic:nvPicPr>
                  <pic:blipFill>
                    <a:blip r:embed="rId8" cstate="print"/>
                    <a:stretch>
                      <a:fillRect/>
                    </a:stretch>
                  </pic:blipFill>
                  <pic:spPr>
                    <a:xfrm>
                      <a:off x="0" y="0"/>
                      <a:ext cx="3023870" cy="1701800"/>
                    </a:xfrm>
                    <a:prstGeom prst="rect">
                      <a:avLst/>
                    </a:prstGeom>
                    <a:noFill/>
                    <a:ln w="9525">
                      <a:noFill/>
                    </a:ln>
                  </pic:spPr>
                </pic:pic>
              </a:graphicData>
            </a:graphic>
          </wp:inline>
        </w:drawing>
      </w:r>
    </w:p>
    <w:p>
      <w:pPr>
        <w:ind w:firstLine="540" w:firstLineChars="300"/>
        <w:rPr>
          <w:rFonts w:ascii="宋体" w:hAnsi="宋体"/>
          <w:kern w:val="36"/>
          <w:sz w:val="18"/>
          <w:szCs w:val="18"/>
        </w:rPr>
      </w:pPr>
      <w:r>
        <w:rPr>
          <w:rFonts w:ascii="宋体" w:hAnsi="宋体"/>
          <w:kern w:val="36"/>
          <w:sz w:val="18"/>
          <w:szCs w:val="18"/>
        </w:rPr>
        <w:t>动物医学院周宏超老师到和家庄镇渭南正能农牧科技有限公司进行技术指导</w:t>
      </w:r>
      <w:r>
        <w:rPr>
          <w:rFonts w:hint="eastAsia" w:ascii="宋体" w:hAnsi="宋体"/>
          <w:kern w:val="36"/>
          <w:sz w:val="18"/>
          <w:szCs w:val="18"/>
        </w:rPr>
        <w:t>（</w:t>
      </w:r>
      <w:r>
        <w:rPr>
          <w:rFonts w:ascii="宋体" w:hAnsi="宋体"/>
          <w:kern w:val="36"/>
          <w:sz w:val="18"/>
          <w:szCs w:val="18"/>
        </w:rPr>
        <w:t xml:space="preserve"> 渭南青年网　</w:t>
      </w:r>
      <w:r>
        <w:rPr>
          <w:rFonts w:hint="eastAsia" w:ascii="宋体" w:hAnsi="宋体"/>
          <w:kern w:val="36"/>
          <w:sz w:val="18"/>
          <w:szCs w:val="18"/>
        </w:rPr>
        <w:t>）</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（二）省部级以上领导同志视察示范中心的图片及说明</w:t>
      </w:r>
    </w:p>
    <w:p>
      <w:pPr>
        <w:ind w:firstLine="482"/>
        <w:jc w:val="center"/>
      </w:pPr>
      <w:r>
        <w:drawing>
          <wp:inline distT="0" distB="0" distL="114300" distR="114300">
            <wp:extent cx="2531745" cy="1490980"/>
            <wp:effectExtent l="0" t="0" r="1905" b="13970"/>
            <wp:docPr id="4" name="图片 41" descr="http://news.nwsuaf.edu.cn/images/content/2018-11/2018110208323953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descr="http://news.nwsuaf.edu.cn/images/content/2018-11/20181102083239537432.jpg"/>
                    <pic:cNvPicPr>
                      <a:picLocks noChangeAspect="1"/>
                    </pic:cNvPicPr>
                  </pic:nvPicPr>
                  <pic:blipFill>
                    <a:blip r:embed="rId9" cstate="print"/>
                    <a:stretch>
                      <a:fillRect/>
                    </a:stretch>
                  </pic:blipFill>
                  <pic:spPr>
                    <a:xfrm>
                      <a:off x="0" y="0"/>
                      <a:ext cx="2531745" cy="1490980"/>
                    </a:xfrm>
                    <a:prstGeom prst="rect">
                      <a:avLst/>
                    </a:prstGeom>
                    <a:noFill/>
                    <a:ln w="9525">
                      <a:noFill/>
                    </a:ln>
                  </pic:spPr>
                </pic:pic>
              </a:graphicData>
            </a:graphic>
          </wp:inline>
        </w:drawing>
      </w:r>
    </w:p>
    <w:p>
      <w:pPr>
        <w:ind w:firstLine="270" w:firstLineChars="150"/>
        <w:jc w:val="left"/>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2018年11月1日，国家林业局副局长彭有冬和校党委书记李兴旺为草业与草原学院成立揭牌</w:t>
      </w:r>
    </w:p>
    <w:p>
      <w:pPr>
        <w:ind w:firstLine="480" w:firstLineChars="200"/>
        <w:jc w:val="center"/>
      </w:pPr>
      <w:r>
        <w:drawing>
          <wp:inline distT="0" distB="0" distL="114300" distR="114300">
            <wp:extent cx="2543175" cy="1525905"/>
            <wp:effectExtent l="19050" t="0" r="9525" b="0"/>
            <wp:docPr id="5" name="图片 38" descr="http://dkxy.nwafu.edu.cn/images/content/2018-06/2018061013052052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http://dkxy.nwafu.edu.cn/images/content/2018-06/20180610130520529067.jpg"/>
                    <pic:cNvPicPr>
                      <a:picLocks noChangeAspect="1"/>
                    </pic:cNvPicPr>
                  </pic:nvPicPr>
                  <pic:blipFill>
                    <a:blip r:embed="rId10" cstate="print"/>
                    <a:stretch>
                      <a:fillRect/>
                    </a:stretch>
                  </pic:blipFill>
                  <pic:spPr>
                    <a:xfrm>
                      <a:off x="0" y="0"/>
                      <a:ext cx="2543175" cy="1526442"/>
                    </a:xfrm>
                    <a:prstGeom prst="rect">
                      <a:avLst/>
                    </a:prstGeom>
                    <a:noFill/>
                    <a:ln w="9525">
                      <a:noFill/>
                    </a:ln>
                  </pic:spPr>
                </pic:pic>
              </a:graphicData>
            </a:graphic>
          </wp:inline>
        </w:drawing>
      </w:r>
    </w:p>
    <w:p>
      <w:pPr>
        <w:ind w:firstLine="360" w:firstLineChars="200"/>
        <w:rPr>
          <w:rFonts w:ascii="宋体" w:hAnsi="宋体"/>
          <w:kern w:val="36"/>
          <w:sz w:val="18"/>
          <w:szCs w:val="18"/>
        </w:rPr>
      </w:pPr>
      <w:r>
        <w:rPr>
          <w:sz w:val="18"/>
          <w:szCs w:val="18"/>
        </w:rPr>
        <w:t>　</w:t>
      </w:r>
      <w:r>
        <w:rPr>
          <w:rFonts w:hint="eastAsia" w:ascii="宋体" w:hAnsi="宋体"/>
          <w:kern w:val="36"/>
          <w:sz w:val="18"/>
          <w:szCs w:val="18"/>
        </w:rPr>
        <w:t>2018年</w:t>
      </w:r>
      <w:r>
        <w:rPr>
          <w:rFonts w:ascii="宋体" w:hAnsi="宋体"/>
          <w:kern w:val="36"/>
          <w:sz w:val="18"/>
          <w:szCs w:val="18"/>
        </w:rPr>
        <w:t>6月7日，刘国中省长在省政府秘书长方玮峰、省发改委主任卢建军、宝鸡市委书记徐启方、宝鸡市市长惠进才及陇县赵甲宏县长等陪同下，深入我校陇县奶山羊试验示范基地考察指导工作。</w:t>
      </w:r>
    </w:p>
    <w:p>
      <w:pPr>
        <w:ind w:firstLine="482"/>
        <w:jc w:val="center"/>
      </w:pPr>
      <w:r>
        <w:drawing>
          <wp:inline distT="0" distB="0" distL="114300" distR="114300">
            <wp:extent cx="3337560" cy="2143125"/>
            <wp:effectExtent l="19050" t="0" r="0" b="0"/>
            <wp:docPr id="6" name="图片 36" descr="http://news.nwsuaf.edu.cn/images/content/2018-08/2018082209023414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http://news.nwsuaf.edu.cn/images/content/2018-08/20180822090234144334.JPG"/>
                    <pic:cNvPicPr>
                      <a:picLocks noChangeAspect="1"/>
                    </pic:cNvPicPr>
                  </pic:nvPicPr>
                  <pic:blipFill>
                    <a:blip r:embed="rId11" cstate="print"/>
                    <a:stretch>
                      <a:fillRect/>
                    </a:stretch>
                  </pic:blipFill>
                  <pic:spPr>
                    <a:xfrm>
                      <a:off x="0" y="0"/>
                      <a:ext cx="3338036" cy="2143125"/>
                    </a:xfrm>
                    <a:prstGeom prst="rect">
                      <a:avLst/>
                    </a:prstGeom>
                    <a:noFill/>
                    <a:ln w="9525">
                      <a:noFill/>
                    </a:ln>
                  </pic:spPr>
                </pic:pic>
              </a:graphicData>
            </a:graphic>
          </wp:inline>
        </w:drawing>
      </w:r>
    </w:p>
    <w:p>
      <w:pPr>
        <w:ind w:firstLine="360" w:firstLineChars="200"/>
        <w:rPr>
          <w:rFonts w:asciiTheme="minorEastAsia" w:hAnsiTheme="minorEastAsia" w:eastAsiaTheme="minorEastAsia"/>
          <w:kern w:val="36"/>
          <w:sz w:val="18"/>
          <w:szCs w:val="18"/>
        </w:rPr>
      </w:pPr>
      <w:r>
        <w:rPr>
          <w:rFonts w:cs="Times New Roman" w:asciiTheme="minorEastAsia" w:hAnsiTheme="minorEastAsia" w:eastAsiaTheme="minorEastAsia"/>
          <w:sz w:val="18"/>
          <w:szCs w:val="18"/>
        </w:rPr>
        <w:t>8月19日至21日，第二届世界奶山羊产业发展大会在“中国奶山羊之乡”</w:t>
      </w:r>
      <w:r>
        <w:rPr>
          <w:rFonts w:hint="eastAsia" w:cs="Times New Roman" w:asciiTheme="minorEastAsia" w:hAnsiTheme="minorEastAsia" w:eastAsiaTheme="minorEastAsia"/>
          <w:sz w:val="18"/>
          <w:szCs w:val="18"/>
        </w:rPr>
        <w:t>-</w:t>
      </w:r>
      <w:r>
        <w:rPr>
          <w:rFonts w:cs="Times New Roman" w:asciiTheme="minorEastAsia" w:hAnsiTheme="minorEastAsia" w:eastAsiaTheme="minorEastAsia"/>
          <w:sz w:val="18"/>
          <w:szCs w:val="18"/>
        </w:rPr>
        <w:t>陕西富平召开，陕西省副省长陆治原出席并宣布开幕，我校党委书记李兴旺出席并致辞。中国奶业协会会长、中国工程院院士李德发，国际山羊协会主席胡安•卡博特，渭南市、富平县有关党政领导及嘉宾、国内外专家学者和乳品企业代表等600余人参加了大会。我校副校长罗军主持开幕式。</w:t>
      </w:r>
    </w:p>
    <w:p>
      <w:pPr>
        <w:ind w:firstLine="480" w:firstLineChars="200"/>
        <w:jc w:val="center"/>
      </w:pPr>
      <w:r>
        <w:drawing>
          <wp:inline distT="0" distB="0" distL="114300" distR="114300">
            <wp:extent cx="3530600" cy="2352675"/>
            <wp:effectExtent l="19050" t="0" r="0" b="0"/>
            <wp:docPr id="7" name="图片 33" descr="http://dkxy.nwafu.edu.cn/images/content/2018-09/2018091316013968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http://dkxy.nwafu.edu.cn/images/content/2018-09/20180913160139682768.jpg"/>
                    <pic:cNvPicPr>
                      <a:picLocks noChangeAspect="1"/>
                    </pic:cNvPicPr>
                  </pic:nvPicPr>
                  <pic:blipFill>
                    <a:blip r:embed="rId12" cstate="print"/>
                    <a:stretch>
                      <a:fillRect/>
                    </a:stretch>
                  </pic:blipFill>
                  <pic:spPr>
                    <a:xfrm>
                      <a:off x="0" y="0"/>
                      <a:ext cx="3530698" cy="2352675"/>
                    </a:xfrm>
                    <a:prstGeom prst="rect">
                      <a:avLst/>
                    </a:prstGeom>
                    <a:noFill/>
                    <a:ln w="9525">
                      <a:noFill/>
                    </a:ln>
                  </pic:spPr>
                </pic:pic>
              </a:graphicData>
            </a:graphic>
          </wp:inline>
        </w:drawing>
      </w:r>
    </w:p>
    <w:p>
      <w:pPr>
        <w:jc w:val="center"/>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9月11日，安康市市委副书记、市长赵俊民一行到我校安康水产试验示范站考察调研科技创新工作</w:t>
      </w:r>
    </w:p>
    <w:p>
      <w:pPr>
        <w:ind w:firstLine="360" w:firstLineChars="200"/>
        <w:jc w:val="center"/>
        <w:rPr>
          <w:sz w:val="18"/>
          <w:szCs w:val="18"/>
        </w:rPr>
      </w:pPr>
      <w:r>
        <w:rPr>
          <w:sz w:val="18"/>
          <w:szCs w:val="18"/>
        </w:rPr>
        <w:drawing>
          <wp:inline distT="0" distB="0" distL="114300" distR="114300">
            <wp:extent cx="3738880" cy="2381250"/>
            <wp:effectExtent l="19050" t="0" r="0" b="0"/>
            <wp:docPr id="8" name="图片 39" descr="http://dkxy.nwafu.edu.cn/images/content/2018-05/2018050910082074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9" descr="http://dkxy.nwafu.edu.cn/images/content/2018-05/20180509100820742799.jpg"/>
                    <pic:cNvPicPr>
                      <a:picLocks noChangeAspect="1"/>
                    </pic:cNvPicPr>
                  </pic:nvPicPr>
                  <pic:blipFill>
                    <a:blip r:embed="rId13" cstate="print"/>
                    <a:stretch>
                      <a:fillRect/>
                    </a:stretch>
                  </pic:blipFill>
                  <pic:spPr>
                    <a:xfrm>
                      <a:off x="0" y="0"/>
                      <a:ext cx="3739003" cy="2381250"/>
                    </a:xfrm>
                    <a:prstGeom prst="rect">
                      <a:avLst/>
                    </a:prstGeom>
                    <a:noFill/>
                    <a:ln w="9525">
                      <a:noFill/>
                    </a:ln>
                  </pic:spPr>
                </pic:pic>
              </a:graphicData>
            </a:graphic>
          </wp:inline>
        </w:drawing>
      </w:r>
    </w:p>
    <w:p>
      <w:pPr>
        <w:jc w:val="center"/>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5月3日，安康市汉滨区科技局李爱龙局长、杨朴副局长等来我院安康水产试验示范站考察交流。</w:t>
      </w:r>
    </w:p>
    <w:p>
      <w:pPr>
        <w:ind w:firstLine="480" w:firstLineChars="200"/>
        <w:jc w:val="center"/>
        <w:rPr>
          <w:rFonts w:ascii="ˎ̥" w:hAnsi="ˎ̥" w:cs="宋体"/>
          <w:kern w:val="0"/>
          <w:szCs w:val="21"/>
        </w:rPr>
      </w:pPr>
    </w:p>
    <w:p>
      <w:pPr>
        <w:ind w:firstLine="1169" w:firstLineChars="776"/>
        <w:rPr>
          <w:rFonts w:ascii="宋体" w:hAnsi="宋体"/>
          <w:b/>
          <w:bCs/>
          <w:color w:val="0C600C"/>
          <w:kern w:val="36"/>
          <w:sz w:val="15"/>
          <w:szCs w:val="15"/>
        </w:rPr>
      </w:pP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（三）其它对示范中心发展有重大影响的活动</w:t>
      </w:r>
    </w:p>
    <w:p>
      <w:pPr>
        <w:ind w:firstLine="420" w:firstLineChars="200"/>
        <w:jc w:val="center"/>
        <w:rPr>
          <w:rFonts w:ascii="Times New Roman" w:hAnsi="Times New Roman" w:eastAsia="楷体" w:cs="Times New Roman"/>
          <w:b/>
          <w:color w:val="000000"/>
          <w:sz w:val="28"/>
          <w:szCs w:val="28"/>
        </w:rPr>
      </w:pPr>
      <w:r>
        <w:rPr>
          <w:rFonts w:hint="eastAsia" w:ascii="ˎ̥" w:hAnsi="ˎ̥"/>
          <w:sz w:val="21"/>
          <w:szCs w:val="21"/>
        </w:rPr>
        <w:drawing>
          <wp:inline distT="0" distB="0" distL="114300" distR="114300">
            <wp:extent cx="3083560" cy="1935480"/>
            <wp:effectExtent l="0" t="0" r="2540" b="7620"/>
            <wp:docPr id="23" name="图片 16" descr="http://dyxy.nwafu.edu.cn/images/content/2018-04/2018042411453164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http://dyxy.nwafu.edu.cn/images/content/2018-04/20180424114531645155.JPG"/>
                    <pic:cNvPicPr>
                      <a:picLocks noChangeAspect="1"/>
                    </pic:cNvPicPr>
                  </pic:nvPicPr>
                  <pic:blipFill>
                    <a:blip r:embed="rId14" cstate="print"/>
                    <a:stretch>
                      <a:fillRect/>
                    </a:stretch>
                  </pic:blipFill>
                  <pic:spPr>
                    <a:xfrm>
                      <a:off x="0" y="0"/>
                      <a:ext cx="3083560" cy="1935480"/>
                    </a:xfrm>
                    <a:prstGeom prst="rect">
                      <a:avLst/>
                    </a:prstGeom>
                    <a:noFill/>
                    <a:ln w="9525">
                      <a:noFill/>
                    </a:ln>
                  </pic:spPr>
                </pic:pic>
              </a:graphicData>
            </a:graphic>
          </wp:inline>
        </w:drawing>
      </w:r>
    </w:p>
    <w:p>
      <w:pPr>
        <w:ind w:firstLine="482"/>
        <w:jc w:val="lef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4月21日，校基建规划处与动物医学院联合召开西北农林科技大学实验动物中心咨询会，</w:t>
      </w:r>
      <w:r>
        <w:rPr>
          <w:rFonts w:hint="eastAsia" w:cs="Times New Roman" w:asciiTheme="minorEastAsia" w:hAnsiTheme="minorEastAsia" w:eastAsiaTheme="minorEastAsia"/>
          <w:color w:val="000000"/>
          <w:sz w:val="18"/>
          <w:szCs w:val="18"/>
        </w:rPr>
        <w:t>实验动物中心大楼总投资7500万元，</w:t>
      </w:r>
      <w:r>
        <w:rPr>
          <w:rFonts w:hint="eastAsia" w:cs="Times New Roman" w:asciiTheme="minorEastAsia" w:hAnsiTheme="minorEastAsia" w:eastAsiaTheme="minorEastAsia"/>
          <w:color w:val="000000"/>
          <w:sz w:val="18"/>
          <w:szCs w:val="18"/>
          <w:lang w:val="en-US" w:eastAsia="zh-CN"/>
        </w:rPr>
        <w:t>立项</w:t>
      </w:r>
      <w:r>
        <w:rPr>
          <w:rFonts w:hint="eastAsia" w:cs="Times New Roman" w:asciiTheme="minorEastAsia" w:hAnsiTheme="minorEastAsia" w:eastAsiaTheme="minorEastAsia"/>
          <w:color w:val="000000"/>
          <w:sz w:val="18"/>
          <w:szCs w:val="18"/>
        </w:rPr>
        <w:t>设备费、教学仪器设备购置费分别为860万元，目前主体已经竣工。</w:t>
      </w:r>
    </w:p>
    <w:p>
      <w:pPr>
        <w:ind w:firstLine="920" w:firstLineChars="400"/>
        <w:jc w:val="center"/>
        <w:rPr>
          <w:color w:val="000000"/>
        </w:rPr>
      </w:pPr>
      <w:r>
        <w:rPr>
          <w:rFonts w:ascii="宋体" w:hAnsi="宋体" w:cs="宋体"/>
          <w:color w:val="4E4E4E"/>
          <w:kern w:val="0"/>
          <w:sz w:val="23"/>
          <w:szCs w:val="23"/>
        </w:rPr>
        <w:drawing>
          <wp:inline distT="0" distB="0" distL="114300" distR="114300">
            <wp:extent cx="2994660" cy="1978660"/>
            <wp:effectExtent l="0" t="0" r="15240" b="2540"/>
            <wp:docPr id="24" name="图片 17" descr="http://www.snedu.gov.cn/file/upload/201801/15/16-43-5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http://www.snedu.gov.cn/file/upload/201801/15/16-43-59-78-9.jpg"/>
                    <pic:cNvPicPr>
                      <a:picLocks noChangeAspect="1"/>
                    </pic:cNvPicPr>
                  </pic:nvPicPr>
                  <pic:blipFill>
                    <a:blip r:embed="rId15" cstate="print"/>
                    <a:stretch>
                      <a:fillRect/>
                    </a:stretch>
                  </pic:blipFill>
                  <pic:spPr>
                    <a:xfrm>
                      <a:off x="0" y="0"/>
                      <a:ext cx="2994660" cy="1978660"/>
                    </a:xfrm>
                    <a:prstGeom prst="rect">
                      <a:avLst/>
                    </a:prstGeom>
                    <a:noFill/>
                    <a:ln w="9525">
                      <a:noFill/>
                    </a:ln>
                  </pic:spPr>
                </pic:pic>
              </a:graphicData>
            </a:graphic>
          </wp:inline>
        </w:drawing>
      </w:r>
    </w:p>
    <w:p>
      <w:pPr>
        <w:ind w:firstLine="540" w:firstLineChars="300"/>
        <w:jc w:val="lef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1月15日，西北农林科技大学召开 “双一流”</w:t>
      </w:r>
      <w:r>
        <w:rPr>
          <w:rFonts w:cs="Times New Roman" w:asciiTheme="minorEastAsia" w:hAnsiTheme="minorEastAsia" w:eastAsiaTheme="minorEastAsia"/>
          <w:color w:val="000000"/>
          <w:sz w:val="18"/>
          <w:szCs w:val="18"/>
        </w:rPr>
        <w:t>建设启动部署会</w:t>
      </w:r>
      <w:r>
        <w:rPr>
          <w:rFonts w:hint="eastAsia" w:cs="Times New Roman" w:asciiTheme="minorEastAsia" w:hAnsiTheme="minorEastAsia" w:eastAsiaTheme="minorEastAsia"/>
          <w:color w:val="000000"/>
          <w:sz w:val="18"/>
          <w:szCs w:val="18"/>
        </w:rPr>
        <w:t>，动物生物技术学科群即在建设之列。</w:t>
      </w:r>
    </w:p>
    <w:p>
      <w:pPr>
        <w:widowControl/>
        <w:shd w:val="clear" w:color="auto" w:fill="FFFFFF"/>
        <w:spacing w:before="100" w:beforeAutospacing="1" w:after="100" w:afterAutospacing="1"/>
        <w:ind w:firstLine="480" w:firstLineChars="200"/>
        <w:jc w:val="center"/>
        <w:rPr>
          <w:rFonts w:ascii="宋体" w:hAnsi="宋体" w:cs="宋体"/>
          <w:color w:val="000000"/>
          <w:kern w:val="0"/>
        </w:rPr>
      </w:pPr>
      <w:r>
        <w:rPr>
          <w:rFonts w:ascii="宋体" w:hAnsi="宋体" w:cs="宋体"/>
          <w:color w:val="000000"/>
          <w:kern w:val="0"/>
        </w:rPr>
        <w:drawing>
          <wp:inline distT="0" distB="0" distL="114300" distR="114300">
            <wp:extent cx="3079750" cy="2030095"/>
            <wp:effectExtent l="0" t="0" r="6350" b="8255"/>
            <wp:docPr id="25" name="图片 29" descr="http://dkxy.nwafu.edu.cn/images/content/2018-11/2018110816425086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http://dkxy.nwafu.edu.cn/images/content/2018-11/20181108164250865066.jpg"/>
                    <pic:cNvPicPr>
                      <a:picLocks noChangeAspect="1"/>
                    </pic:cNvPicPr>
                  </pic:nvPicPr>
                  <pic:blipFill>
                    <a:blip r:embed="rId16" cstate="print"/>
                    <a:stretch>
                      <a:fillRect/>
                    </a:stretch>
                  </pic:blipFill>
                  <pic:spPr>
                    <a:xfrm>
                      <a:off x="0" y="0"/>
                      <a:ext cx="3079750" cy="2030095"/>
                    </a:xfrm>
                    <a:prstGeom prst="rect">
                      <a:avLst/>
                    </a:prstGeom>
                    <a:noFill/>
                    <a:ln w="9525">
                      <a:noFill/>
                    </a:ln>
                  </pic:spPr>
                </pic:pic>
              </a:graphicData>
            </a:graphic>
          </wp:inline>
        </w:drawing>
      </w:r>
    </w:p>
    <w:p>
      <w:pPr>
        <w:widowControl/>
        <w:shd w:val="clear" w:color="auto" w:fill="FFFFFF"/>
        <w:ind w:firstLine="360" w:firstLineChars="200"/>
        <w:jc w:val="left"/>
        <w:rPr>
          <w:rFonts w:ascii="宋体" w:hAnsi="宋体"/>
          <w:sz w:val="18"/>
          <w:szCs w:val="18"/>
        </w:rPr>
      </w:pPr>
      <w:r>
        <w:rPr>
          <w:rFonts w:ascii="宋体" w:hAnsi="宋体"/>
          <w:sz w:val="18"/>
          <w:szCs w:val="18"/>
        </w:rPr>
        <w:t>2018年杨凌国际农业科技论坛于11月5</w:t>
      </w:r>
      <w:r>
        <w:rPr>
          <w:rFonts w:hint="eastAsia" w:ascii="宋体" w:hAnsi="宋体"/>
          <w:sz w:val="18"/>
          <w:szCs w:val="18"/>
        </w:rPr>
        <w:t>-</w:t>
      </w:r>
      <w:r>
        <w:rPr>
          <w:rFonts w:ascii="宋体" w:hAnsi="宋体"/>
          <w:sz w:val="18"/>
          <w:szCs w:val="18"/>
        </w:rPr>
        <w:t>7日在我校举行。11月6日由</w:t>
      </w:r>
      <w:r>
        <w:rPr>
          <w:rFonts w:hint="eastAsia" w:ascii="宋体" w:hAnsi="宋体"/>
          <w:sz w:val="18"/>
          <w:szCs w:val="18"/>
        </w:rPr>
        <w:t>动物科学院</w:t>
      </w:r>
      <w:r>
        <w:rPr>
          <w:rFonts w:ascii="宋体" w:hAnsi="宋体"/>
          <w:sz w:val="18"/>
          <w:szCs w:val="18"/>
        </w:rPr>
        <w:t>承办的“动物生物技术与健康养殖”分论坛在校国际交流中心隆重举行。</w:t>
      </w:r>
    </w:p>
    <w:p>
      <w:pPr>
        <w:widowControl/>
        <w:shd w:val="clear" w:color="auto" w:fill="FFFFFF"/>
        <w:spacing w:before="100" w:beforeAutospacing="1" w:after="100" w:afterAutospacing="1"/>
        <w:ind w:firstLine="480" w:firstLineChars="200"/>
        <w:jc w:val="center"/>
        <w:rPr>
          <w:color w:val="000000"/>
        </w:rPr>
      </w:pPr>
      <w:r>
        <w:rPr>
          <w:color w:val="000000"/>
        </w:rPr>
        <w:drawing>
          <wp:inline distT="0" distB="0" distL="114300" distR="114300">
            <wp:extent cx="2666365" cy="1899920"/>
            <wp:effectExtent l="0" t="0" r="635" b="5080"/>
            <wp:docPr id="26" name="图片 9" descr="C:\Users\Administrator\Documents\Tencent Files\2946863326\FileRecv\20160113_16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Administrator\Documents\Tencent Files\2946863326\FileRecv\20160113_165651.jpg"/>
                    <pic:cNvPicPr>
                      <a:picLocks noChangeAspect="1"/>
                    </pic:cNvPicPr>
                  </pic:nvPicPr>
                  <pic:blipFill>
                    <a:blip r:embed="rId17" cstate="print"/>
                    <a:stretch>
                      <a:fillRect/>
                    </a:stretch>
                  </pic:blipFill>
                  <pic:spPr>
                    <a:xfrm>
                      <a:off x="0" y="0"/>
                      <a:ext cx="2666365" cy="1899920"/>
                    </a:xfrm>
                    <a:prstGeom prst="rect">
                      <a:avLst/>
                    </a:prstGeom>
                    <a:noFill/>
                    <a:ln w="9525">
                      <a:noFill/>
                    </a:ln>
                  </pic:spPr>
                </pic:pic>
              </a:graphicData>
            </a:graphic>
          </wp:inline>
        </w:drawing>
      </w:r>
    </w:p>
    <w:p>
      <w:pPr>
        <w:widowControl/>
        <w:shd w:val="clear" w:color="auto" w:fill="FFFFFF"/>
        <w:ind w:firstLine="360" w:firstLineChars="200"/>
        <w:jc w:val="center"/>
        <w:rPr>
          <w:rFonts w:ascii="宋体" w:hAnsi="宋体"/>
          <w:sz w:val="18"/>
          <w:szCs w:val="18"/>
        </w:rPr>
      </w:pPr>
      <w:r>
        <w:rPr>
          <w:rFonts w:hint="eastAsia" w:ascii="宋体" w:hAnsi="宋体"/>
          <w:sz w:val="18"/>
          <w:szCs w:val="18"/>
        </w:rPr>
        <w:t>家畜生物学国家重点实验室获批陕西省科技厅培育项目。</w:t>
      </w:r>
    </w:p>
    <w:p>
      <w:pPr>
        <w:jc w:val="center"/>
      </w:pPr>
      <w:r>
        <w:rPr>
          <w:rFonts w:hint="eastAsia" w:ascii="ˎ̥" w:hAnsi="ˎ̥"/>
          <w:sz w:val="21"/>
          <w:szCs w:val="21"/>
        </w:rPr>
        <w:drawing>
          <wp:inline distT="0" distB="0" distL="114300" distR="114300">
            <wp:extent cx="3098165" cy="1969770"/>
            <wp:effectExtent l="0" t="0" r="6985" b="11430"/>
            <wp:docPr id="27" name="图片 7" descr="http://dyxy.nwafu.edu.cn/images/content/2018-11/2018110508285312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http://dyxy.nwafu.edu.cn/images/content/2018-11/20181105082853129845.jpg"/>
                    <pic:cNvPicPr>
                      <a:picLocks noChangeAspect="1"/>
                    </pic:cNvPicPr>
                  </pic:nvPicPr>
                  <pic:blipFill>
                    <a:blip r:embed="rId18" cstate="print"/>
                    <a:stretch>
                      <a:fillRect/>
                    </a:stretch>
                  </pic:blipFill>
                  <pic:spPr>
                    <a:xfrm>
                      <a:off x="0" y="0"/>
                      <a:ext cx="3098165" cy="1969770"/>
                    </a:xfrm>
                    <a:prstGeom prst="rect">
                      <a:avLst/>
                    </a:prstGeom>
                    <a:noFill/>
                    <a:ln w="9525">
                      <a:noFill/>
                    </a:ln>
                  </pic:spPr>
                </pic:pic>
              </a:graphicData>
            </a:graphic>
          </wp:inline>
        </w:drawing>
      </w:r>
    </w:p>
    <w:p>
      <w:pPr>
        <w:widowControl/>
        <w:shd w:val="clear" w:color="auto" w:fill="FFFFFF"/>
        <w:ind w:firstLine="360" w:firstLineChars="200"/>
        <w:jc w:val="left"/>
        <w:rPr>
          <w:sz w:val="18"/>
          <w:szCs w:val="18"/>
        </w:rPr>
      </w:pPr>
      <w:r>
        <w:rPr>
          <w:rFonts w:hint="eastAsia" w:ascii="宋体" w:hAnsi="宋体"/>
          <w:sz w:val="18"/>
          <w:szCs w:val="18"/>
        </w:rPr>
        <w:t>由2015级动物医学本科生丁心怡、丁军、李寒梅和祁桂祥组成的代表队，以总分第二名的成绩荣获第五届全国“生泰尔杯”大学生动物医学专业技能大赛大赛特等奖和 “病原菌检查与血凝试验”和“禽的病理剖检” 两项单项优异奖。杨增岐、赵晓民、张欣珂、卢德章、林鹏飞、许信刚和王兴龙七位老师获得优秀指导老师奖。</w:t>
      </w:r>
    </w:p>
    <w:p>
      <w:pPr>
        <w:jc w:val="center"/>
      </w:pPr>
      <w:r>
        <w:drawing>
          <wp:inline distT="0" distB="0" distL="114300" distR="114300">
            <wp:extent cx="3211830" cy="1892300"/>
            <wp:effectExtent l="0" t="0" r="7620" b="12700"/>
            <wp:docPr id="28" name="图片 10" descr="http://dyxy.nwafu.edu.cn/images/content/2018-10/201810290932313035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http://dyxy.nwafu.edu.cn/images/content/2018-10/20181029093231303597_1.jpg"/>
                    <pic:cNvPicPr>
                      <a:picLocks noChangeAspect="1"/>
                    </pic:cNvPicPr>
                  </pic:nvPicPr>
                  <pic:blipFill>
                    <a:blip r:embed="rId19" cstate="print"/>
                    <a:stretch>
                      <a:fillRect/>
                    </a:stretch>
                  </pic:blipFill>
                  <pic:spPr>
                    <a:xfrm>
                      <a:off x="0" y="0"/>
                      <a:ext cx="3211830" cy="1892300"/>
                    </a:xfrm>
                    <a:prstGeom prst="rect">
                      <a:avLst/>
                    </a:prstGeom>
                    <a:noFill/>
                    <a:ln w="9525">
                      <a:noFill/>
                    </a:ln>
                  </pic:spPr>
                </pic:pic>
              </a:graphicData>
            </a:graphic>
          </wp:inline>
        </w:drawing>
      </w:r>
    </w:p>
    <w:p>
      <w:pPr>
        <w:ind w:firstLine="360" w:firstLineChars="200"/>
        <w:jc w:val="center"/>
        <w:rPr>
          <w:rFonts w:ascii="宋体" w:hAnsi="宋体"/>
          <w:sz w:val="18"/>
          <w:szCs w:val="18"/>
        </w:rPr>
      </w:pPr>
      <w:r>
        <w:rPr>
          <w:rFonts w:hint="eastAsia" w:ascii="宋体" w:hAnsi="宋体"/>
          <w:sz w:val="18"/>
          <w:szCs w:val="18"/>
        </w:rPr>
        <w:t>2015级学生李淑莹、杨鸣夏、王濛3位同学组成的参赛代表队在以总分第一名的成绩荣获第四届“雄鹰杯”小动物医师技能大赛总决赛大学生组特等奖、最佳组织院校奖，王濛同学获得中国兽医新星奖，卢德章老师和张欣珂老师获得团体特等奖优秀辅导老师奖。</w:t>
      </w:r>
    </w:p>
    <w:p>
      <w:pPr>
        <w:ind w:firstLine="480" w:firstLineChars="200"/>
        <w:jc w:val="center"/>
      </w:pPr>
      <w:r>
        <w:drawing>
          <wp:inline distT="0" distB="0" distL="114300" distR="114300">
            <wp:extent cx="2837815" cy="1669415"/>
            <wp:effectExtent l="19050" t="0" r="635" b="0"/>
            <wp:docPr id="29" name="图片 31" descr="http://dkxy.nwafu.edu.cn/images/content/2018-10/2018101214565174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http://dkxy.nwafu.edu.cn/images/content/2018-10/20181012145651744091.jpg"/>
                    <pic:cNvPicPr>
                      <a:picLocks noChangeAspect="1"/>
                    </pic:cNvPicPr>
                  </pic:nvPicPr>
                  <pic:blipFill>
                    <a:blip r:embed="rId20" cstate="print"/>
                    <a:stretch>
                      <a:fillRect/>
                    </a:stretch>
                  </pic:blipFill>
                  <pic:spPr>
                    <a:xfrm>
                      <a:off x="0" y="0"/>
                      <a:ext cx="2837815" cy="1669932"/>
                    </a:xfrm>
                    <a:prstGeom prst="rect">
                      <a:avLst/>
                    </a:prstGeom>
                    <a:noFill/>
                    <a:ln w="9525">
                      <a:noFill/>
                    </a:ln>
                  </pic:spPr>
                </pic:pic>
              </a:graphicData>
            </a:graphic>
          </wp:inline>
        </w:drawing>
      </w:r>
    </w:p>
    <w:p>
      <w:pPr>
        <w:ind w:firstLine="360" w:firstLineChars="200"/>
        <w:rPr>
          <w:sz w:val="18"/>
          <w:szCs w:val="18"/>
        </w:rPr>
      </w:pPr>
      <w:r>
        <w:rPr>
          <w:rFonts w:hint="eastAsia" w:ascii="宋体" w:hAnsi="宋体"/>
          <w:kern w:val="36"/>
          <w:sz w:val="18"/>
          <w:szCs w:val="18"/>
        </w:rPr>
        <w:t xml:space="preserve"> 2018年</w:t>
      </w:r>
      <w:r>
        <w:rPr>
          <w:rFonts w:ascii="宋体" w:hAnsi="宋体"/>
          <w:kern w:val="36"/>
          <w:sz w:val="18"/>
          <w:szCs w:val="18"/>
        </w:rPr>
        <w:t>10月11日，中国工程院院士，国际著名蚕学专家，农业部蚕学重点开放实验室主任，西南大学蚕学与系统生物学研究所所长向仲怀教授</w:t>
      </w:r>
      <w:r>
        <w:rPr>
          <w:rFonts w:hint="eastAsia" w:ascii="宋体" w:hAnsi="宋体"/>
          <w:kern w:val="36"/>
          <w:sz w:val="18"/>
          <w:szCs w:val="18"/>
        </w:rPr>
        <w:t>指导动科分中心教学工作</w:t>
      </w:r>
    </w:p>
    <w:p>
      <w:pPr>
        <w:ind w:firstLine="420" w:firstLineChars="200"/>
        <w:jc w:val="center"/>
        <w:rPr>
          <w:rFonts w:ascii="ˎ̥" w:hAnsi="ˎ̥"/>
          <w:sz w:val="27"/>
          <w:szCs w:val="27"/>
        </w:rPr>
      </w:pPr>
      <w:r>
        <w:rPr>
          <w:rFonts w:hint="eastAsia" w:ascii="ˎ̥" w:hAnsi="ˎ̥"/>
          <w:sz w:val="21"/>
          <w:szCs w:val="21"/>
        </w:rPr>
        <w:drawing>
          <wp:inline distT="0" distB="0" distL="114300" distR="114300">
            <wp:extent cx="2850515" cy="1769110"/>
            <wp:effectExtent l="0" t="0" r="6985" b="2540"/>
            <wp:docPr id="30" name="图片 15" descr="http://dyxy.nwafu.edu.cn/images/content/2018-05/2018052111322799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http://dyxy.nwafu.edu.cn/images/content/2018-05/20180521113227998457.JPG"/>
                    <pic:cNvPicPr>
                      <a:picLocks noChangeAspect="1"/>
                    </pic:cNvPicPr>
                  </pic:nvPicPr>
                  <pic:blipFill>
                    <a:blip r:embed="rId21" cstate="print"/>
                    <a:stretch>
                      <a:fillRect/>
                    </a:stretch>
                  </pic:blipFill>
                  <pic:spPr>
                    <a:xfrm>
                      <a:off x="0" y="0"/>
                      <a:ext cx="2850515" cy="1769110"/>
                    </a:xfrm>
                    <a:prstGeom prst="rect">
                      <a:avLst/>
                    </a:prstGeom>
                    <a:noFill/>
                    <a:ln w="9525">
                      <a:noFill/>
                    </a:ln>
                  </pic:spPr>
                </pic:pic>
              </a:graphicData>
            </a:graphic>
          </wp:inline>
        </w:drawing>
      </w:r>
    </w:p>
    <w:p>
      <w:pPr>
        <w:ind w:firstLine="630" w:firstLineChars="35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5月18日</w:t>
      </w:r>
      <w:r>
        <w:rPr>
          <w:rFonts w:hint="eastAsia" w:ascii="宋体" w:hAnsi="宋体"/>
          <w:kern w:val="36"/>
          <w:sz w:val="18"/>
          <w:szCs w:val="18"/>
        </w:rPr>
        <w:t>，</w:t>
      </w:r>
      <w:r>
        <w:rPr>
          <w:rFonts w:ascii="宋体" w:hAnsi="宋体"/>
          <w:kern w:val="36"/>
          <w:sz w:val="18"/>
          <w:szCs w:val="18"/>
        </w:rPr>
        <w:t>国家“千人计划”特聘专家管敏鑫教授一行5人来</w:t>
      </w:r>
      <w:r>
        <w:rPr>
          <w:rFonts w:hint="eastAsia" w:ascii="宋体" w:hAnsi="宋体"/>
          <w:kern w:val="36"/>
          <w:sz w:val="18"/>
          <w:szCs w:val="18"/>
        </w:rPr>
        <w:t>动物医学分中心考察</w:t>
      </w:r>
      <w:r>
        <w:rPr>
          <w:rFonts w:ascii="宋体" w:hAnsi="宋体"/>
          <w:kern w:val="36"/>
          <w:sz w:val="18"/>
          <w:szCs w:val="18"/>
        </w:rPr>
        <w:t>交流</w:t>
      </w:r>
    </w:p>
    <w:p>
      <w:pPr>
        <w:ind w:firstLine="480" w:firstLineChars="200"/>
        <w:jc w:val="center"/>
      </w:pPr>
      <w:r>
        <w:drawing>
          <wp:inline distT="0" distB="0" distL="114300" distR="114300">
            <wp:extent cx="2787015" cy="1787525"/>
            <wp:effectExtent l="0" t="0" r="13335" b="3175"/>
            <wp:docPr id="31" name="图片 34" descr="http://dkxy.nwafu.edu.cn/images/content/2018-09/2018091110481546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http://dkxy.nwafu.edu.cn/images/content/2018-09/20180911104815466789.jpg"/>
                    <pic:cNvPicPr>
                      <a:picLocks noChangeAspect="1"/>
                    </pic:cNvPicPr>
                  </pic:nvPicPr>
                  <pic:blipFill>
                    <a:blip r:embed="rId22" cstate="print"/>
                    <a:stretch>
                      <a:fillRect/>
                    </a:stretch>
                  </pic:blipFill>
                  <pic:spPr>
                    <a:xfrm>
                      <a:off x="0" y="0"/>
                      <a:ext cx="2787015" cy="1787525"/>
                    </a:xfrm>
                    <a:prstGeom prst="rect">
                      <a:avLst/>
                    </a:prstGeom>
                    <a:noFill/>
                    <a:ln w="9525">
                      <a:noFill/>
                    </a:ln>
                  </pic:spPr>
                </pic:pic>
              </a:graphicData>
            </a:graphic>
          </wp:inline>
        </w:drawing>
      </w:r>
    </w:p>
    <w:p>
      <w:pPr>
        <w:ind w:firstLine="540" w:firstLineChars="30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9月10日,美国俄克拉荷马州立大学校长、副校长、生物科学系主任及生物科学系吴宁教授等来</w:t>
      </w:r>
      <w:r>
        <w:rPr>
          <w:rFonts w:hint="eastAsia" w:ascii="宋体" w:hAnsi="宋体"/>
          <w:kern w:val="36"/>
          <w:sz w:val="18"/>
          <w:szCs w:val="18"/>
        </w:rPr>
        <w:t>动科分中心</w:t>
      </w:r>
      <w:r>
        <w:rPr>
          <w:rFonts w:ascii="宋体" w:hAnsi="宋体"/>
          <w:kern w:val="36"/>
          <w:sz w:val="18"/>
          <w:szCs w:val="18"/>
        </w:rPr>
        <w:t>座谈交</w:t>
      </w:r>
      <w:r>
        <w:rPr>
          <w:rFonts w:hint="eastAsia" w:ascii="宋体" w:hAnsi="宋体"/>
          <w:kern w:val="36"/>
          <w:sz w:val="18"/>
          <w:szCs w:val="18"/>
        </w:rPr>
        <w:t>流</w:t>
      </w:r>
    </w:p>
    <w:p>
      <w:pPr>
        <w:ind w:firstLine="480" w:firstLineChars="200"/>
        <w:jc w:val="center"/>
      </w:pPr>
      <w:r>
        <w:drawing>
          <wp:inline distT="0" distB="0" distL="114300" distR="114300">
            <wp:extent cx="2695575" cy="1704340"/>
            <wp:effectExtent l="0" t="0" r="9525" b="10160"/>
            <wp:docPr id="32" name="图片 35" descr="http://dkxy.nwafu.edu.cn/images/content/2018-08/2018082515412936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descr="http://dkxy.nwafu.edu.cn/images/content/2018-08/20180825154129363548.jpg"/>
                    <pic:cNvPicPr>
                      <a:picLocks noChangeAspect="1"/>
                    </pic:cNvPicPr>
                  </pic:nvPicPr>
                  <pic:blipFill>
                    <a:blip r:embed="rId23" cstate="print"/>
                    <a:stretch>
                      <a:fillRect/>
                    </a:stretch>
                  </pic:blipFill>
                  <pic:spPr>
                    <a:xfrm>
                      <a:off x="0" y="0"/>
                      <a:ext cx="2695575" cy="1704340"/>
                    </a:xfrm>
                    <a:prstGeom prst="rect">
                      <a:avLst/>
                    </a:prstGeom>
                    <a:noFill/>
                    <a:ln w="9525">
                      <a:noFill/>
                    </a:ln>
                  </pic:spPr>
                </pic:pic>
              </a:graphicData>
            </a:graphic>
          </wp:inline>
        </w:drawing>
      </w:r>
    </w:p>
    <w:p>
      <w:pPr>
        <w:jc w:val="center"/>
        <w:rPr>
          <w:rFonts w:ascii="Times New Roman" w:hAnsi="Times New Roman" w:eastAsia="楷体" w:cs="Times New Roman"/>
          <w:sz w:val="18"/>
          <w:szCs w:val="18"/>
        </w:rPr>
      </w:pPr>
      <w:r>
        <w:rPr>
          <w:rFonts w:hint="eastAsia" w:ascii="宋体" w:hAnsi="宋体"/>
          <w:kern w:val="36"/>
          <w:sz w:val="18"/>
          <w:szCs w:val="18"/>
        </w:rPr>
        <w:t>2018年8月25日，</w:t>
      </w:r>
      <w:r>
        <w:rPr>
          <w:rFonts w:ascii="宋体" w:hAnsi="宋体"/>
          <w:kern w:val="36"/>
          <w:sz w:val="18"/>
          <w:szCs w:val="18"/>
        </w:rPr>
        <w:t>美国密苏里哥伦比亚大学Mattew Lucy教授和Scott Poock教授来</w:t>
      </w:r>
      <w:r>
        <w:rPr>
          <w:rFonts w:hint="eastAsia" w:ascii="宋体" w:hAnsi="宋体"/>
          <w:kern w:val="36"/>
          <w:sz w:val="18"/>
          <w:szCs w:val="18"/>
        </w:rPr>
        <w:t>动物科学分中心交流</w:t>
      </w:r>
    </w:p>
    <w:p>
      <w:pPr>
        <w:ind w:firstLine="480" w:firstLineChars="200"/>
        <w:jc w:val="center"/>
      </w:pPr>
      <w:r>
        <w:drawing>
          <wp:inline distT="0" distB="0" distL="114300" distR="114300">
            <wp:extent cx="2874645" cy="1758315"/>
            <wp:effectExtent l="0" t="0" r="1905" b="13335"/>
            <wp:docPr id="33" name="图片 30" descr="http://dkxy.nwafu.edu.cn/images/content/2018-10/2018101516043198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http://dkxy.nwafu.edu.cn/images/content/2018-10/20181015160431986107.jpg"/>
                    <pic:cNvPicPr>
                      <a:picLocks noChangeAspect="1"/>
                    </pic:cNvPicPr>
                  </pic:nvPicPr>
                  <pic:blipFill>
                    <a:blip r:embed="rId24" cstate="print"/>
                    <a:stretch>
                      <a:fillRect/>
                    </a:stretch>
                  </pic:blipFill>
                  <pic:spPr>
                    <a:xfrm>
                      <a:off x="0" y="0"/>
                      <a:ext cx="2874645" cy="1758315"/>
                    </a:xfrm>
                    <a:prstGeom prst="rect">
                      <a:avLst/>
                    </a:prstGeom>
                    <a:noFill/>
                    <a:ln w="9525">
                      <a:noFill/>
                    </a:ln>
                  </pic:spPr>
                </pic:pic>
              </a:graphicData>
            </a:graphic>
          </wp:inline>
        </w:drawing>
      </w:r>
    </w:p>
    <w:p>
      <w:pPr>
        <w:ind w:firstLine="180" w:firstLineChars="10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10月10日-15日</w:t>
      </w:r>
      <w:r>
        <w:rPr>
          <w:rFonts w:hint="eastAsia" w:ascii="宋体" w:hAnsi="宋体"/>
          <w:kern w:val="36"/>
          <w:sz w:val="18"/>
          <w:szCs w:val="18"/>
        </w:rPr>
        <w:t>，</w:t>
      </w:r>
      <w:r>
        <w:rPr>
          <w:rFonts w:ascii="宋体" w:hAnsi="宋体"/>
          <w:kern w:val="36"/>
          <w:sz w:val="18"/>
          <w:szCs w:val="18"/>
        </w:rPr>
        <w:t>日本国立水产养殖研究所高级研究员奥宏海博士来</w:t>
      </w:r>
      <w:r>
        <w:rPr>
          <w:rFonts w:hint="eastAsia" w:ascii="宋体" w:hAnsi="宋体"/>
          <w:kern w:val="36"/>
          <w:sz w:val="18"/>
          <w:szCs w:val="18"/>
        </w:rPr>
        <w:t>动物科学分中心</w:t>
      </w:r>
      <w:r>
        <w:rPr>
          <w:rFonts w:ascii="宋体" w:hAnsi="宋体"/>
          <w:kern w:val="36"/>
          <w:sz w:val="18"/>
          <w:szCs w:val="18"/>
        </w:rPr>
        <w:t>访问交流</w:t>
      </w:r>
    </w:p>
    <w:p>
      <w:pPr>
        <w:ind w:firstLine="420" w:firstLineChars="200"/>
        <w:jc w:val="center"/>
        <w:rPr>
          <w:rFonts w:ascii="Times New Roman" w:hAnsi="Times New Roman" w:eastAsia="楷体" w:cs="Times New Roman"/>
          <w:sz w:val="28"/>
          <w:szCs w:val="28"/>
        </w:rPr>
      </w:pPr>
      <w:r>
        <w:rPr>
          <w:rFonts w:hint="eastAsia" w:ascii="ˎ̥" w:hAnsi="ˎ̥"/>
          <w:sz w:val="21"/>
          <w:szCs w:val="21"/>
        </w:rPr>
        <w:drawing>
          <wp:inline distT="0" distB="0" distL="114300" distR="114300">
            <wp:extent cx="2963545" cy="1657350"/>
            <wp:effectExtent l="0" t="0" r="8255" b="0"/>
            <wp:docPr id="34" name="图片 1" descr="http://dyxy.nwafu.edu.cn/images/content/2018-12/201812281013001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http://dyxy.nwafu.edu.cn/images/content/2018-12/20181228101300198129.jpg"/>
                    <pic:cNvPicPr>
                      <a:picLocks noChangeAspect="1"/>
                    </pic:cNvPicPr>
                  </pic:nvPicPr>
                  <pic:blipFill>
                    <a:blip r:embed="rId25" cstate="print"/>
                    <a:stretch>
                      <a:fillRect/>
                    </a:stretch>
                  </pic:blipFill>
                  <pic:spPr>
                    <a:xfrm>
                      <a:off x="0" y="0"/>
                      <a:ext cx="2963545" cy="1657350"/>
                    </a:xfrm>
                    <a:prstGeom prst="rect">
                      <a:avLst/>
                    </a:prstGeom>
                    <a:noFill/>
                    <a:ln w="9525">
                      <a:noFill/>
                    </a:ln>
                  </pic:spPr>
                </pic:pic>
              </a:graphicData>
            </a:graphic>
          </wp:inline>
        </w:drawing>
      </w:r>
    </w:p>
    <w:p>
      <w:pPr>
        <w:ind w:firstLine="705" w:firstLineChars="392"/>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12月27日，哈萨克斯坦兽医研究所动物源性饲料和食品安全保障部负责人萨拉芭卡诺娃•绍尔潘•塔陶科夫娜到</w:t>
      </w:r>
      <w:r>
        <w:rPr>
          <w:rFonts w:hint="eastAsia" w:ascii="宋体" w:hAnsi="宋体"/>
          <w:kern w:val="36"/>
          <w:sz w:val="18"/>
          <w:szCs w:val="18"/>
        </w:rPr>
        <w:t>动物医学分中心考察</w:t>
      </w:r>
      <w:r>
        <w:rPr>
          <w:rFonts w:ascii="宋体" w:hAnsi="宋体"/>
          <w:kern w:val="36"/>
          <w:sz w:val="18"/>
          <w:szCs w:val="18"/>
        </w:rPr>
        <w:t>交流。</w:t>
      </w:r>
    </w:p>
    <w:p>
      <w:pPr>
        <w:ind w:firstLine="480" w:firstLineChars="200"/>
        <w:jc w:val="center"/>
        <w:rPr>
          <w:rFonts w:ascii="Times New Roman" w:hAnsi="Times New Roman" w:eastAsia="楷体" w:cs="Times New Roman"/>
          <w:sz w:val="28"/>
          <w:szCs w:val="28"/>
        </w:rPr>
      </w:pPr>
      <w:r>
        <w:drawing>
          <wp:inline distT="0" distB="0" distL="114300" distR="114300">
            <wp:extent cx="3137535" cy="1668145"/>
            <wp:effectExtent l="0" t="0" r="5715" b="8255"/>
            <wp:docPr id="35" name="图片 3" descr="http://dyxy.nwafu.edu.cn/images/content/2018-12/201812141730362087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http://dyxy.nwafu.edu.cn/images/content/2018-12/20181214173036208769_1.jpg"/>
                    <pic:cNvPicPr>
                      <a:picLocks noChangeAspect="1"/>
                    </pic:cNvPicPr>
                  </pic:nvPicPr>
                  <pic:blipFill>
                    <a:blip r:embed="rId26" cstate="print"/>
                    <a:stretch>
                      <a:fillRect/>
                    </a:stretch>
                  </pic:blipFill>
                  <pic:spPr>
                    <a:xfrm>
                      <a:off x="0" y="0"/>
                      <a:ext cx="3137535" cy="1668145"/>
                    </a:xfrm>
                    <a:prstGeom prst="rect">
                      <a:avLst/>
                    </a:prstGeom>
                    <a:noFill/>
                    <a:ln w="9525">
                      <a:noFill/>
                    </a:ln>
                  </pic:spPr>
                </pic:pic>
              </a:graphicData>
            </a:graphic>
          </wp:inline>
        </w:drawing>
      </w:r>
    </w:p>
    <w:p>
      <w:pPr>
        <w:ind w:firstLine="360" w:firstLineChars="200"/>
        <w:rPr>
          <w:rFonts w:ascii="宋体" w:hAnsi="宋体"/>
          <w:kern w:val="36"/>
          <w:sz w:val="18"/>
          <w:szCs w:val="18"/>
        </w:rPr>
      </w:pPr>
      <w:r>
        <w:rPr>
          <w:rFonts w:ascii="宋体" w:hAnsi="宋体"/>
          <w:kern w:val="36"/>
          <w:sz w:val="18"/>
          <w:szCs w:val="18"/>
        </w:rPr>
        <w:t>2018年12月7</w:t>
      </w:r>
      <w:r>
        <w:rPr>
          <w:rFonts w:hint="eastAsia" w:ascii="宋体" w:hAnsi="宋体"/>
          <w:kern w:val="36"/>
          <w:sz w:val="18"/>
          <w:szCs w:val="18"/>
        </w:rPr>
        <w:t>-</w:t>
      </w:r>
      <w:r>
        <w:rPr>
          <w:rFonts w:ascii="宋体" w:hAnsi="宋体"/>
          <w:kern w:val="36"/>
          <w:sz w:val="18"/>
          <w:szCs w:val="18"/>
        </w:rPr>
        <w:t>11日</w:t>
      </w:r>
      <w:r>
        <w:rPr>
          <w:rFonts w:hint="eastAsia" w:ascii="宋体" w:hAnsi="宋体"/>
          <w:kern w:val="36"/>
          <w:sz w:val="18"/>
          <w:szCs w:val="18"/>
        </w:rPr>
        <w:t>，日</w:t>
      </w:r>
      <w:r>
        <w:rPr>
          <w:rFonts w:ascii="宋体" w:hAnsi="宋体"/>
          <w:kern w:val="36"/>
          <w:sz w:val="18"/>
          <w:szCs w:val="18"/>
        </w:rPr>
        <w:t>本九州大学农学研究院动物生殖生理与生物技术实验室主任山内伸彦副教授、日本东京医科大学妇产科学系久保田海雄讲师、日本山口大学生物医学研究所谏山慧士郎助理教授来</w:t>
      </w:r>
      <w:r>
        <w:rPr>
          <w:rFonts w:hint="eastAsia" w:ascii="宋体" w:hAnsi="宋体"/>
          <w:kern w:val="36"/>
          <w:sz w:val="18"/>
          <w:szCs w:val="18"/>
        </w:rPr>
        <w:t>动物医学分中心考察交流</w:t>
      </w:r>
      <w:r>
        <w:rPr>
          <w:rFonts w:ascii="宋体" w:hAnsi="宋体"/>
          <w:kern w:val="36"/>
          <w:sz w:val="18"/>
          <w:szCs w:val="18"/>
        </w:rPr>
        <w:t>。</w:t>
      </w:r>
    </w:p>
    <w:p>
      <w:pPr>
        <w:ind w:firstLine="480" w:firstLineChars="200"/>
        <w:jc w:val="left"/>
        <w:rPr>
          <w:rFonts w:ascii="Times New Roman" w:hAnsi="Times New Roman" w:eastAsia="楷体" w:cs="Times New Roman"/>
          <w:sz w:val="28"/>
          <w:szCs w:val="28"/>
        </w:rPr>
      </w:pPr>
      <w:r>
        <w:rPr>
          <w:rFonts w:ascii="宋体" w:hAnsi="宋体" w:cs="宋体"/>
          <w:kern w:val="0"/>
        </w:rPr>
        <w:drawing>
          <wp:inline distT="0" distB="0" distL="114300" distR="114300">
            <wp:extent cx="2219960" cy="1424940"/>
            <wp:effectExtent l="0" t="0" r="8890" b="3810"/>
            <wp:docPr id="36" name="图片 23" descr="http://dkxy.nwafu.edu.cn/images/content/2018-11/201811261643331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http://dkxy.nwafu.edu.cn/images/content/2018-11/20181126164333100198.JPG"/>
                    <pic:cNvPicPr>
                      <a:picLocks noChangeAspect="1"/>
                    </pic:cNvPicPr>
                  </pic:nvPicPr>
                  <pic:blipFill>
                    <a:blip r:embed="rId27" cstate="print"/>
                    <a:stretch>
                      <a:fillRect/>
                    </a:stretch>
                  </pic:blipFill>
                  <pic:spPr>
                    <a:xfrm>
                      <a:off x="0" y="0"/>
                      <a:ext cx="2219960" cy="1424940"/>
                    </a:xfrm>
                    <a:prstGeom prst="rect">
                      <a:avLst/>
                    </a:prstGeom>
                    <a:noFill/>
                    <a:ln w="9525">
                      <a:noFill/>
                    </a:ln>
                  </pic:spPr>
                </pic:pic>
              </a:graphicData>
            </a:graphic>
          </wp:inline>
        </w:drawing>
      </w:r>
      <w:r>
        <w:rPr>
          <w:rFonts w:hint="eastAsia" w:ascii="ˎ̥" w:hAnsi="ˎ̥" w:cs="宋体"/>
          <w:kern w:val="0"/>
          <w:sz w:val="21"/>
          <w:szCs w:val="21"/>
        </w:rPr>
        <w:drawing>
          <wp:inline distT="0" distB="0" distL="114300" distR="114300">
            <wp:extent cx="2359025" cy="1437640"/>
            <wp:effectExtent l="0" t="0" r="3175" b="10160"/>
            <wp:docPr id="37" name="图片 5" descr="http://dyxy.nwafu.edu.cn/images/content/2018-11/2018112710394315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http://dyxy.nwafu.edu.cn/images/content/2018-11/20181127103943155689.jpg"/>
                    <pic:cNvPicPr>
                      <a:picLocks noChangeAspect="1"/>
                    </pic:cNvPicPr>
                  </pic:nvPicPr>
                  <pic:blipFill>
                    <a:blip r:embed="rId28" cstate="print"/>
                    <a:stretch>
                      <a:fillRect/>
                    </a:stretch>
                  </pic:blipFill>
                  <pic:spPr>
                    <a:xfrm>
                      <a:off x="0" y="0"/>
                      <a:ext cx="2359025" cy="1437640"/>
                    </a:xfrm>
                    <a:prstGeom prst="rect">
                      <a:avLst/>
                    </a:prstGeom>
                    <a:noFill/>
                    <a:ln w="9525">
                      <a:noFill/>
                    </a:ln>
                  </pic:spPr>
                </pic:pic>
              </a:graphicData>
            </a:graphic>
          </wp:inline>
        </w:drawing>
      </w:r>
    </w:p>
    <w:p>
      <w:pPr>
        <w:widowControl/>
        <w:shd w:val="clear" w:color="auto" w:fill="FFFFFF"/>
        <w:spacing w:line="360" w:lineRule="atLeast"/>
        <w:ind w:firstLine="420"/>
        <w:jc w:val="left"/>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11月24日-25日，哈萨克斯坦兽医研究所所长苏尔塔诺夫•阿赫梅特然和西哈萨克斯坦农业技术大学校长纳米托夫•阿斯卡尔代表团一行</w:t>
      </w:r>
      <w:r>
        <w:rPr>
          <w:rFonts w:hint="eastAsia" w:ascii="宋体" w:hAnsi="宋体"/>
          <w:kern w:val="36"/>
          <w:sz w:val="18"/>
          <w:szCs w:val="18"/>
        </w:rPr>
        <w:t>动科、动医分中心考察交流</w:t>
      </w:r>
      <w:r>
        <w:rPr>
          <w:rFonts w:ascii="宋体" w:hAnsi="宋体"/>
          <w:kern w:val="36"/>
          <w:sz w:val="18"/>
          <w:szCs w:val="18"/>
        </w:rPr>
        <w:t>。</w:t>
      </w:r>
    </w:p>
    <w:p>
      <w:pPr>
        <w:ind w:firstLine="300" w:firstLineChars="200"/>
        <w:jc w:val="center"/>
        <w:rPr>
          <w:rFonts w:ascii="宋体" w:hAnsi="宋体"/>
          <w:kern w:val="36"/>
          <w:sz w:val="15"/>
          <w:szCs w:val="15"/>
        </w:rPr>
      </w:pPr>
      <w:r>
        <w:rPr>
          <w:rFonts w:hint="eastAsia" w:ascii="宋体" w:hAnsi="宋体"/>
          <w:kern w:val="36"/>
          <w:sz w:val="15"/>
          <w:szCs w:val="15"/>
        </w:rPr>
        <w:drawing>
          <wp:inline distT="0" distB="0" distL="114300" distR="114300">
            <wp:extent cx="3105150" cy="1674495"/>
            <wp:effectExtent l="0" t="0" r="0" b="1905"/>
            <wp:docPr id="38" name="图片 18" descr="http://dyxy.nwafu.edu.cn/images/content/2018-04/2018040408353279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http://dyxy.nwafu.edu.cn/images/content/2018-04/20180404083532794110.JPG"/>
                    <pic:cNvPicPr>
                      <a:picLocks noChangeAspect="1"/>
                    </pic:cNvPicPr>
                  </pic:nvPicPr>
                  <pic:blipFill>
                    <a:blip r:embed="rId29" cstate="print"/>
                    <a:stretch>
                      <a:fillRect/>
                    </a:stretch>
                  </pic:blipFill>
                  <pic:spPr>
                    <a:xfrm>
                      <a:off x="0" y="0"/>
                      <a:ext cx="3105150" cy="1674495"/>
                    </a:xfrm>
                    <a:prstGeom prst="rect">
                      <a:avLst/>
                    </a:prstGeom>
                    <a:noFill/>
                    <a:ln w="9525">
                      <a:noFill/>
                    </a:ln>
                  </pic:spPr>
                </pic:pic>
              </a:graphicData>
            </a:graphic>
          </wp:inline>
        </w:drawing>
      </w:r>
    </w:p>
    <w:p>
      <w:pPr>
        <w:ind w:firstLine="540" w:firstLineChars="30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3月30日，中国农业大学动物医学院副院长林德贵教授一行5人来</w:t>
      </w:r>
      <w:r>
        <w:rPr>
          <w:rFonts w:hint="eastAsia" w:ascii="宋体" w:hAnsi="宋体"/>
          <w:kern w:val="36"/>
          <w:sz w:val="18"/>
          <w:szCs w:val="18"/>
        </w:rPr>
        <w:t>动物医学分中心</w:t>
      </w:r>
      <w:r>
        <w:rPr>
          <w:rFonts w:ascii="宋体" w:hAnsi="宋体"/>
          <w:kern w:val="36"/>
          <w:sz w:val="18"/>
          <w:szCs w:val="18"/>
        </w:rPr>
        <w:t>交流</w:t>
      </w:r>
    </w:p>
    <w:p>
      <w:pPr>
        <w:ind w:firstLine="480" w:firstLineChars="200"/>
        <w:jc w:val="center"/>
        <w:rPr>
          <w:rFonts w:ascii="Times New Roman" w:hAnsi="Times New Roman" w:eastAsia="楷体" w:cs="Times New Roman"/>
          <w:sz w:val="28"/>
          <w:szCs w:val="28"/>
        </w:rPr>
      </w:pPr>
      <w:r>
        <w:drawing>
          <wp:inline distT="0" distB="0" distL="114300" distR="114300">
            <wp:extent cx="2891155" cy="1733550"/>
            <wp:effectExtent l="0" t="0" r="4445" b="0"/>
            <wp:docPr id="39" name="图片 24" descr="http://dkxy.nwafu.edu.cn/images/content/2018-11/2018112218111273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http://dkxy.nwafu.edu.cn/images/content/2018-11/20181122181112739389.jpg"/>
                    <pic:cNvPicPr>
                      <a:picLocks noChangeAspect="1"/>
                    </pic:cNvPicPr>
                  </pic:nvPicPr>
                  <pic:blipFill>
                    <a:blip r:embed="rId30" cstate="print"/>
                    <a:stretch>
                      <a:fillRect/>
                    </a:stretch>
                  </pic:blipFill>
                  <pic:spPr>
                    <a:xfrm>
                      <a:off x="0" y="0"/>
                      <a:ext cx="2891155" cy="1733550"/>
                    </a:xfrm>
                    <a:prstGeom prst="rect">
                      <a:avLst/>
                    </a:prstGeom>
                    <a:noFill/>
                    <a:ln w="9525">
                      <a:noFill/>
                    </a:ln>
                  </pic:spPr>
                </pic:pic>
              </a:graphicData>
            </a:graphic>
          </wp:inline>
        </w:drawing>
      </w:r>
    </w:p>
    <w:p>
      <w:pPr>
        <w:ind w:firstLine="900" w:firstLineChars="50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11月21日，东北农业大学动物科学技术学院院长刘忠华一行</w:t>
      </w:r>
      <w:r>
        <w:rPr>
          <w:rFonts w:hint="eastAsia" w:ascii="宋体" w:hAnsi="宋体"/>
          <w:kern w:val="36"/>
          <w:sz w:val="18"/>
          <w:szCs w:val="18"/>
        </w:rPr>
        <w:t>考察动物科学分中心</w:t>
      </w:r>
    </w:p>
    <w:p>
      <w:pPr>
        <w:widowControl/>
        <w:shd w:val="clear" w:color="auto" w:fill="FFFFFF"/>
        <w:spacing w:line="420" w:lineRule="atLeast"/>
        <w:ind w:left="1980" w:leftChars="175" w:hanging="1560" w:hangingChars="650"/>
        <w:jc w:val="center"/>
      </w:pPr>
      <w:r>
        <w:drawing>
          <wp:inline distT="0" distB="0" distL="114300" distR="114300">
            <wp:extent cx="3166110" cy="1627505"/>
            <wp:effectExtent l="0" t="0" r="15240" b="10795"/>
            <wp:docPr id="40" name="图片 6" descr="http://dyxy.nwafu.edu.cn/images/content/2018-11/201811261503011695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http://dyxy.nwafu.edu.cn/images/content/2018-11/20181126150301169510_1.jpg"/>
                    <pic:cNvPicPr>
                      <a:picLocks noChangeAspect="1"/>
                    </pic:cNvPicPr>
                  </pic:nvPicPr>
                  <pic:blipFill>
                    <a:blip r:embed="rId31" cstate="print"/>
                    <a:stretch>
                      <a:fillRect/>
                    </a:stretch>
                  </pic:blipFill>
                  <pic:spPr>
                    <a:xfrm>
                      <a:off x="0" y="0"/>
                      <a:ext cx="3166110" cy="1627505"/>
                    </a:xfrm>
                    <a:prstGeom prst="rect">
                      <a:avLst/>
                    </a:prstGeom>
                    <a:noFill/>
                    <a:ln w="9525">
                      <a:noFill/>
                    </a:ln>
                  </pic:spPr>
                </pic:pic>
              </a:graphicData>
            </a:graphic>
          </wp:inline>
        </w:drawing>
      </w:r>
    </w:p>
    <w:p>
      <w:pPr>
        <w:widowControl/>
        <w:shd w:val="clear" w:color="auto" w:fill="FFFFFF"/>
        <w:spacing w:line="420" w:lineRule="atLeast"/>
        <w:ind w:left="1590" w:leftChars="175" w:hanging="1170" w:hangingChars="650"/>
        <w:jc w:val="center"/>
        <w:rPr>
          <w:rFonts w:ascii="宋体" w:hAnsi="宋体"/>
          <w:kern w:val="36"/>
          <w:sz w:val="18"/>
          <w:szCs w:val="18"/>
        </w:rPr>
      </w:pPr>
      <w:r>
        <w:rPr>
          <w:rFonts w:ascii="宋体" w:hAnsi="宋体"/>
          <w:kern w:val="36"/>
          <w:sz w:val="18"/>
          <w:szCs w:val="18"/>
        </w:rPr>
        <w:t>2018年11月26日，石河子大学动物科技学院一行12人到</w:t>
      </w:r>
      <w:r>
        <w:rPr>
          <w:rFonts w:hint="eastAsia" w:ascii="宋体" w:hAnsi="宋体"/>
          <w:kern w:val="36"/>
          <w:sz w:val="18"/>
          <w:szCs w:val="18"/>
        </w:rPr>
        <w:t>中心考察交流</w:t>
      </w:r>
    </w:p>
    <w:p>
      <w:pPr>
        <w:ind w:firstLine="600" w:firstLineChars="200"/>
        <w:jc w:val="center"/>
        <w:rPr>
          <w:rFonts w:ascii="Times New Roman" w:hAnsi="Times New Roman" w:eastAsia="楷体" w:cs="Times New Roman"/>
          <w:sz w:val="28"/>
          <w:szCs w:val="28"/>
        </w:rPr>
      </w:pPr>
      <w:r>
        <w:rPr>
          <w:rFonts w:hint="eastAsia" w:ascii="ˎ̥" w:hAnsi="ˎ̥"/>
          <w:sz w:val="30"/>
          <w:szCs w:val="30"/>
        </w:rPr>
        <w:drawing>
          <wp:inline distT="0" distB="0" distL="114300" distR="114300">
            <wp:extent cx="3093085" cy="1631950"/>
            <wp:effectExtent l="0" t="0" r="12065" b="6350"/>
            <wp:docPr id="41" name="图片 13" descr="http://dyxy.nwafu.edu.cn/images/content/2018-08/2018080109035532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http://dyxy.nwafu.edu.cn/images/content/2018-08/20180801090355323835.JPG"/>
                    <pic:cNvPicPr>
                      <a:picLocks noChangeAspect="1"/>
                    </pic:cNvPicPr>
                  </pic:nvPicPr>
                  <pic:blipFill>
                    <a:blip r:embed="rId32" cstate="print"/>
                    <a:stretch>
                      <a:fillRect/>
                    </a:stretch>
                  </pic:blipFill>
                  <pic:spPr>
                    <a:xfrm>
                      <a:off x="0" y="0"/>
                      <a:ext cx="3093085" cy="1631950"/>
                    </a:xfrm>
                    <a:prstGeom prst="rect">
                      <a:avLst/>
                    </a:prstGeom>
                    <a:noFill/>
                    <a:ln w="9525">
                      <a:noFill/>
                    </a:ln>
                  </pic:spPr>
                </pic:pic>
              </a:graphicData>
            </a:graphic>
          </wp:inline>
        </w:drawing>
      </w:r>
    </w:p>
    <w:p>
      <w:pPr>
        <w:ind w:firstLine="450" w:firstLineChars="250"/>
        <w:rPr>
          <w:rFonts w:ascii="宋体" w:hAnsi="宋体"/>
          <w:kern w:val="36"/>
          <w:sz w:val="18"/>
          <w:szCs w:val="18"/>
        </w:rPr>
      </w:pPr>
      <w:r>
        <w:rPr>
          <w:rFonts w:hint="eastAsia" w:ascii="宋体" w:hAnsi="宋体"/>
          <w:kern w:val="36"/>
          <w:sz w:val="18"/>
          <w:szCs w:val="18"/>
        </w:rPr>
        <w:t>2018年</w:t>
      </w:r>
      <w:r>
        <w:rPr>
          <w:rFonts w:ascii="宋体" w:hAnsi="宋体"/>
          <w:kern w:val="36"/>
          <w:sz w:val="18"/>
          <w:szCs w:val="18"/>
        </w:rPr>
        <w:t>7月31日，扬州大学动物医学院院长刘宗平教授一行5人来</w:t>
      </w:r>
      <w:r>
        <w:rPr>
          <w:rFonts w:hint="eastAsia" w:ascii="宋体" w:hAnsi="宋体"/>
          <w:kern w:val="36"/>
          <w:sz w:val="18"/>
          <w:szCs w:val="18"/>
        </w:rPr>
        <w:t>动物医学分中心</w:t>
      </w:r>
      <w:r>
        <w:rPr>
          <w:rFonts w:ascii="宋体" w:hAnsi="宋体"/>
          <w:kern w:val="36"/>
          <w:sz w:val="18"/>
          <w:szCs w:val="18"/>
        </w:rPr>
        <w:t>进行交流访问</w:t>
      </w:r>
    </w:p>
    <w:p>
      <w:pPr>
        <w:ind w:firstLine="360" w:firstLineChars="200"/>
        <w:jc w:val="center"/>
        <w:rPr>
          <w:rFonts w:ascii="Times New Roman" w:hAnsi="Times New Roman" w:eastAsia="楷体" w:cs="Times New Roman"/>
          <w:sz w:val="18"/>
          <w:szCs w:val="18"/>
        </w:rPr>
      </w:pPr>
    </w:p>
    <w:p>
      <w:pPr>
        <w:jc w:val="left"/>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六、示范中心存在的主要问题</w:t>
      </w:r>
    </w:p>
    <w:p>
      <w:pPr>
        <w:jc w:val="left"/>
        <w:rPr>
          <w:rFonts w:ascii="Times New Roman" w:hAnsi="Times New Roman" w:eastAsia="黑体" w:cs="Times New Roman"/>
          <w:color w:val="000000"/>
          <w:sz w:val="28"/>
          <w:szCs w:val="28"/>
        </w:rPr>
      </w:pPr>
      <w:r>
        <w:rPr>
          <w:rFonts w:ascii="Times New Roman" w:hAnsi="Times New Roman" w:eastAsia="楷体" w:cs="Times New Roman"/>
          <w:b/>
          <w:color w:val="000000"/>
          <w:sz w:val="28"/>
          <w:szCs w:val="28"/>
        </w:rPr>
        <w:t>（一）</w:t>
      </w:r>
      <w:r>
        <w:rPr>
          <w:rFonts w:hint="eastAsia" w:ascii="Times New Roman" w:hAnsi="Times New Roman" w:eastAsia="楷体" w:cs="Times New Roman"/>
          <w:b/>
          <w:color w:val="000000"/>
          <w:sz w:val="28"/>
          <w:szCs w:val="28"/>
        </w:rPr>
        <w:t>综合性、设计性实验实践项目的数量和质量有待进一步提高</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目前，中心已开设饲料品质分析、动物生产综合实习、畜产品品质分析、兽医临床学实习、兽医药理学实验、兽医外科手术等综合性实验实践项目，但由于畜牧兽医行业集约化发展速度很快，对人才培养要求越来越高，中心将多渠道筹措经费，逐步</w:t>
      </w:r>
      <w:r>
        <w:rPr>
          <w:rFonts w:ascii="Times New Roman" w:hAnsi="Times New Roman" w:eastAsia="楷体" w:cs="Times New Roman"/>
          <w:color w:val="000000"/>
          <w:sz w:val="28"/>
          <w:szCs w:val="28"/>
        </w:rPr>
        <w:t>更新</w:t>
      </w:r>
      <w:r>
        <w:rPr>
          <w:rFonts w:hint="eastAsia" w:ascii="Times New Roman" w:hAnsi="Times New Roman" w:eastAsia="楷体" w:cs="Times New Roman"/>
          <w:color w:val="000000"/>
          <w:sz w:val="28"/>
          <w:szCs w:val="28"/>
        </w:rPr>
        <w:t>实验室和基地的硬件条件</w:t>
      </w:r>
      <w:r>
        <w:rPr>
          <w:rFonts w:ascii="Times New Roman" w:hAnsi="Times New Roman" w:eastAsia="楷体" w:cs="Times New Roman"/>
          <w:color w:val="000000"/>
          <w:sz w:val="28"/>
          <w:szCs w:val="28"/>
        </w:rPr>
        <w:t>，</w:t>
      </w:r>
      <w:r>
        <w:rPr>
          <w:rFonts w:hint="eastAsia" w:ascii="Times New Roman" w:hAnsi="Times New Roman" w:eastAsia="楷体" w:cs="Times New Roman"/>
          <w:color w:val="000000"/>
          <w:sz w:val="28"/>
          <w:szCs w:val="28"/>
        </w:rPr>
        <w:t>开设更多适应行业发展需要的综合性设计性实验实践项目，进一步提高适应现代化畜牧产业发展需要的人才培养质量</w:t>
      </w:r>
      <w:r>
        <w:rPr>
          <w:rFonts w:ascii="Times New Roman" w:hAnsi="Times New Roman" w:eastAsia="楷体" w:cs="Times New Roman"/>
          <w:color w:val="000000"/>
          <w:sz w:val="28"/>
          <w:szCs w:val="28"/>
        </w:rPr>
        <w:t>。</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w:t>
      </w:r>
      <w:r>
        <w:rPr>
          <w:rFonts w:hint="eastAsia" w:ascii="Times New Roman" w:hAnsi="Times New Roman" w:eastAsia="楷体" w:cs="Times New Roman"/>
          <w:b/>
          <w:color w:val="000000"/>
          <w:sz w:val="28"/>
          <w:szCs w:val="28"/>
        </w:rPr>
        <w:t>专职管理与实验技术队伍的建设有待加强</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急需配备</w:t>
      </w:r>
      <w:r>
        <w:rPr>
          <w:rFonts w:ascii="Times New Roman" w:hAnsi="Times New Roman" w:eastAsia="楷体" w:cs="Times New Roman"/>
          <w:color w:val="000000"/>
          <w:sz w:val="28"/>
          <w:szCs w:val="28"/>
        </w:rPr>
        <w:t>专职管理人员</w:t>
      </w:r>
      <w:r>
        <w:rPr>
          <w:rFonts w:hint="eastAsia" w:ascii="Times New Roman" w:hAnsi="Times New Roman" w:eastAsia="楷体" w:cs="Times New Roman"/>
          <w:color w:val="000000"/>
          <w:sz w:val="28"/>
          <w:szCs w:val="28"/>
        </w:rPr>
        <w:t>，进一步规范日常运行与管理；目前，中心实验技术队伍</w:t>
      </w:r>
      <w:r>
        <w:rPr>
          <w:rFonts w:ascii="Times New Roman" w:hAnsi="Times New Roman" w:eastAsia="楷体" w:cs="Times New Roman"/>
          <w:color w:val="000000"/>
          <w:sz w:val="28"/>
          <w:szCs w:val="28"/>
        </w:rPr>
        <w:t>数量</w:t>
      </w:r>
      <w:r>
        <w:rPr>
          <w:rFonts w:hint="eastAsia" w:ascii="Times New Roman" w:hAnsi="Times New Roman" w:eastAsia="楷体" w:cs="Times New Roman"/>
          <w:color w:val="000000"/>
          <w:sz w:val="28"/>
          <w:szCs w:val="28"/>
        </w:rPr>
        <w:t>较少</w:t>
      </w:r>
      <w:r>
        <w:rPr>
          <w:rFonts w:ascii="Times New Roman" w:hAnsi="Times New Roman" w:eastAsia="楷体" w:cs="Times New Roman"/>
          <w:color w:val="000000"/>
          <w:sz w:val="28"/>
          <w:szCs w:val="28"/>
        </w:rPr>
        <w:t>、年龄</w:t>
      </w:r>
      <w:r>
        <w:rPr>
          <w:rFonts w:hint="eastAsia" w:ascii="Times New Roman" w:hAnsi="Times New Roman" w:eastAsia="楷体" w:cs="Times New Roman"/>
          <w:color w:val="000000"/>
          <w:sz w:val="28"/>
          <w:szCs w:val="28"/>
        </w:rPr>
        <w:t>略显</w:t>
      </w:r>
      <w:r>
        <w:rPr>
          <w:rFonts w:ascii="Times New Roman" w:hAnsi="Times New Roman" w:eastAsia="楷体" w:cs="Times New Roman"/>
          <w:color w:val="000000"/>
          <w:sz w:val="28"/>
          <w:szCs w:val="28"/>
        </w:rPr>
        <w:t>老化、学历层次偏低，缺乏大型设备维护使用的专门技术人员</w:t>
      </w:r>
      <w:r>
        <w:rPr>
          <w:rFonts w:hint="eastAsia" w:ascii="Times New Roman" w:hAnsi="Times New Roman" w:eastAsia="楷体" w:cs="Times New Roman"/>
          <w:color w:val="000000"/>
          <w:sz w:val="28"/>
          <w:szCs w:val="28"/>
        </w:rPr>
        <w:t>，实验技术队伍结构不尽合理，有待改善。</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w:t>
      </w:r>
      <w:r>
        <w:rPr>
          <w:rFonts w:hint="eastAsia" w:ascii="Times New Roman" w:hAnsi="Times New Roman" w:eastAsia="楷体" w:cs="Times New Roman"/>
          <w:b/>
          <w:color w:val="000000"/>
          <w:sz w:val="28"/>
          <w:szCs w:val="28"/>
        </w:rPr>
        <w:t>国家级教学成果有待突破</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自获批以来，在教学、科研、人才培养等方面</w:t>
      </w:r>
      <w:r>
        <w:rPr>
          <w:rFonts w:ascii="Times New Roman" w:hAnsi="Times New Roman" w:eastAsia="楷体" w:cs="Times New Roman"/>
          <w:color w:val="000000"/>
          <w:sz w:val="28"/>
          <w:szCs w:val="28"/>
        </w:rPr>
        <w:t>取得了</w:t>
      </w:r>
      <w:r>
        <w:rPr>
          <w:rFonts w:hint="eastAsia" w:ascii="Times New Roman" w:hAnsi="Times New Roman" w:eastAsia="楷体" w:cs="Times New Roman"/>
          <w:color w:val="000000"/>
          <w:sz w:val="28"/>
          <w:szCs w:val="28"/>
        </w:rPr>
        <w:t>显著</w:t>
      </w:r>
      <w:r>
        <w:rPr>
          <w:rFonts w:ascii="Times New Roman" w:hAnsi="Times New Roman" w:eastAsia="楷体" w:cs="Times New Roman"/>
          <w:color w:val="000000"/>
          <w:sz w:val="28"/>
          <w:szCs w:val="28"/>
        </w:rPr>
        <w:t>成绩，但</w:t>
      </w:r>
      <w:r>
        <w:rPr>
          <w:rFonts w:hint="eastAsia" w:ascii="Times New Roman" w:hAnsi="Times New Roman" w:eastAsia="楷体" w:cs="Times New Roman"/>
          <w:color w:val="000000"/>
          <w:sz w:val="28"/>
          <w:szCs w:val="28"/>
        </w:rPr>
        <w:t>缺乏国家级教学成果</w:t>
      </w:r>
      <w:r>
        <w:rPr>
          <w:rFonts w:ascii="Times New Roman" w:hAnsi="Times New Roman" w:eastAsia="楷体" w:cs="Times New Roman"/>
          <w:color w:val="000000"/>
          <w:sz w:val="28"/>
          <w:szCs w:val="28"/>
        </w:rPr>
        <w:t>。</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七、所在学校与学校上级主管部门的支持</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中心依托动物科技学院</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动物医学院</w:t>
      </w:r>
      <w:r>
        <w:rPr>
          <w:rFonts w:hint="eastAsia" w:ascii="Times New Roman" w:hAnsi="Times New Roman" w:eastAsia="楷体" w:cs="Times New Roman"/>
          <w:color w:val="000000"/>
          <w:sz w:val="28"/>
          <w:szCs w:val="28"/>
        </w:rPr>
        <w:t>进行</w:t>
      </w:r>
      <w:r>
        <w:rPr>
          <w:rFonts w:ascii="Times New Roman" w:hAnsi="Times New Roman" w:eastAsia="楷体" w:cs="Times New Roman"/>
          <w:color w:val="000000"/>
          <w:sz w:val="28"/>
          <w:szCs w:val="28"/>
        </w:rPr>
        <w:t>建设与运行，实行“校院两级管理，以院为主，中心主任具体负责”的管理体制。坚持教学实验室与科研实验平台“分设、统管、共享、开放”，软件与硬件建设并重原则，学校在政策、资金、项目上给予重点支持。</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为提高中心的建设水平，学校已投入7500万元新建实验动物中心大楼，2018年</w:t>
      </w:r>
      <w:r>
        <w:rPr>
          <w:rFonts w:hint="eastAsia" w:ascii="Times New Roman" w:hAnsi="Times New Roman" w:eastAsia="楷体" w:cs="Times New Roman"/>
          <w:color w:val="000000"/>
          <w:sz w:val="28"/>
          <w:szCs w:val="28"/>
          <w:lang w:val="en-US" w:eastAsia="zh-CN"/>
        </w:rPr>
        <w:t>立项</w:t>
      </w:r>
      <w:r>
        <w:rPr>
          <w:rFonts w:hint="eastAsia" w:ascii="Times New Roman" w:hAnsi="Times New Roman" w:eastAsia="楷体" w:cs="Times New Roman"/>
          <w:color w:val="000000"/>
          <w:sz w:val="28"/>
          <w:szCs w:val="28"/>
        </w:rPr>
        <w:t>购置仪器设备</w:t>
      </w:r>
      <w:r>
        <w:rPr>
          <w:rFonts w:hint="eastAsia" w:ascii="Times New Roman" w:hAnsi="Times New Roman" w:eastAsia="楷体" w:cs="Times New Roman"/>
          <w:color w:val="000000"/>
          <w:sz w:val="28"/>
          <w:szCs w:val="28"/>
          <w:lang w:val="en-US" w:eastAsia="zh-CN"/>
        </w:rPr>
        <w:t>费</w:t>
      </w:r>
      <w:r>
        <w:rPr>
          <w:rFonts w:hint="eastAsia" w:ascii="Times New Roman" w:hAnsi="Times New Roman" w:eastAsia="楷体" w:cs="Times New Roman"/>
          <w:color w:val="000000"/>
          <w:sz w:val="28"/>
          <w:szCs w:val="28"/>
        </w:rPr>
        <w:t>860万元，动科分中心获批235万元教育部修购项目经费用于改善基本办学条件。学校投入25万元经费为中心设立全英文暑期课程5门，以加强大学生国际化水平；学校为提高青年教师教学水平，制定获学校青年教师讲课比赛一等奖教师直接晋升副教授职称的政策，中心王喜红博士就是第一批获此荣誉的教师。</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为进一步提高实验教学人员业务能力和管理水平，学校每年安排一批实验教学人员</w:t>
      </w:r>
      <w:r>
        <w:rPr>
          <w:rFonts w:hint="eastAsia" w:ascii="Times New Roman" w:hAnsi="Times New Roman" w:eastAsia="楷体" w:cs="Times New Roman"/>
          <w:color w:val="000000"/>
          <w:sz w:val="28"/>
          <w:szCs w:val="28"/>
        </w:rPr>
        <w:t>赴国内名校教学实验中心进行专门</w:t>
      </w:r>
      <w:r>
        <w:rPr>
          <w:rFonts w:ascii="Times New Roman" w:hAnsi="Times New Roman" w:eastAsia="楷体" w:cs="Times New Roman"/>
          <w:color w:val="000000"/>
          <w:sz w:val="28"/>
          <w:szCs w:val="28"/>
        </w:rPr>
        <w:t>培训</w:t>
      </w:r>
      <w:r>
        <w:rPr>
          <w:rFonts w:hint="eastAsia" w:ascii="Times New Roman" w:hAnsi="Times New Roman" w:eastAsia="楷体" w:cs="Times New Roman"/>
          <w:color w:val="000000"/>
          <w:sz w:val="28"/>
          <w:szCs w:val="28"/>
        </w:rPr>
        <w:t>学习；</w:t>
      </w:r>
      <w:r>
        <w:rPr>
          <w:rFonts w:ascii="Times New Roman" w:hAnsi="Times New Roman" w:eastAsia="楷体" w:cs="Times New Roman"/>
          <w:color w:val="000000"/>
          <w:sz w:val="28"/>
          <w:szCs w:val="28"/>
        </w:rPr>
        <w:t>每年定期开展实验室危化品</w:t>
      </w:r>
      <w:r>
        <w:rPr>
          <w:rFonts w:hint="eastAsia" w:ascii="Times New Roman" w:hAnsi="Times New Roman" w:eastAsia="楷体" w:cs="Times New Roman"/>
          <w:color w:val="000000"/>
          <w:sz w:val="28"/>
          <w:szCs w:val="28"/>
        </w:rPr>
        <w:t>安全</w:t>
      </w:r>
      <w:r>
        <w:rPr>
          <w:rFonts w:ascii="Times New Roman" w:hAnsi="Times New Roman" w:eastAsia="楷体" w:cs="Times New Roman"/>
          <w:color w:val="000000"/>
          <w:sz w:val="28"/>
          <w:szCs w:val="28"/>
        </w:rPr>
        <w:t>培训</w:t>
      </w:r>
      <w:r>
        <w:rPr>
          <w:rFonts w:hint="eastAsia" w:ascii="Times New Roman" w:hAnsi="Times New Roman" w:eastAsia="楷体" w:cs="Times New Roman"/>
          <w:color w:val="000000"/>
          <w:sz w:val="28"/>
          <w:szCs w:val="28"/>
        </w:rPr>
        <w:t>、实验室辐射安全培训、实验室消防演练等专项活动</w:t>
      </w:r>
      <w:r>
        <w:rPr>
          <w:rFonts w:ascii="Times New Roman" w:hAnsi="Times New Roman" w:eastAsia="楷体" w:cs="Times New Roman"/>
          <w:color w:val="000000"/>
          <w:sz w:val="28"/>
          <w:szCs w:val="28"/>
        </w:rPr>
        <w:t>，提高实验安全管理水平</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组织实验人员</w:t>
      </w:r>
      <w:r>
        <w:rPr>
          <w:rFonts w:hint="eastAsia" w:ascii="Times New Roman" w:hAnsi="Times New Roman" w:eastAsia="楷体" w:cs="Times New Roman"/>
          <w:color w:val="000000"/>
          <w:sz w:val="28"/>
          <w:szCs w:val="28"/>
        </w:rPr>
        <w:t>定期进行大型设备操作培训，</w:t>
      </w:r>
      <w:r>
        <w:rPr>
          <w:rFonts w:ascii="Times New Roman" w:hAnsi="Times New Roman" w:eastAsia="楷体" w:cs="Times New Roman"/>
          <w:color w:val="000000"/>
          <w:sz w:val="28"/>
          <w:szCs w:val="28"/>
        </w:rPr>
        <w:t>参加全国自制实验教学仪器评选活动，提高实验人员</w:t>
      </w:r>
      <w:r>
        <w:rPr>
          <w:rFonts w:hint="eastAsia" w:ascii="Times New Roman" w:hAnsi="Times New Roman" w:eastAsia="楷体" w:cs="Times New Roman"/>
          <w:color w:val="000000"/>
          <w:sz w:val="28"/>
          <w:szCs w:val="28"/>
        </w:rPr>
        <w:t>操作水平</w:t>
      </w:r>
      <w:r>
        <w:rPr>
          <w:rFonts w:ascii="Times New Roman" w:hAnsi="Times New Roman" w:eastAsia="楷体" w:cs="Times New Roman"/>
          <w:color w:val="000000"/>
          <w:sz w:val="28"/>
          <w:szCs w:val="28"/>
        </w:rPr>
        <w:t>。</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《国家级实验教学示范中心管理办法》的发布为进一步规范和加强中心建设和运行管理提供了政策支持，为下一步深化中心管理改革提供了政策依据。</w:t>
      </w:r>
    </w:p>
    <w:p>
      <w:pP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八、下一年发展思路</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（一）</w:t>
      </w:r>
      <w:r>
        <w:rPr>
          <w:rFonts w:hint="eastAsia" w:ascii="Times New Roman" w:hAnsi="Times New Roman" w:eastAsia="楷体" w:cs="Times New Roman"/>
          <w:b/>
          <w:color w:val="000000"/>
          <w:sz w:val="28"/>
          <w:szCs w:val="28"/>
        </w:rPr>
        <w:t>突出以本为本，提高综合性设计性实验项目数量和质量</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中心</w:t>
      </w:r>
      <w:r>
        <w:rPr>
          <w:rFonts w:hint="eastAsia" w:ascii="Times New Roman" w:hAnsi="Times New Roman" w:eastAsia="楷体" w:cs="Times New Roman"/>
          <w:color w:val="000000"/>
          <w:sz w:val="28"/>
          <w:szCs w:val="28"/>
        </w:rPr>
        <w:t>坚持</w:t>
      </w:r>
      <w:r>
        <w:rPr>
          <w:rFonts w:ascii="Times New Roman" w:hAnsi="Times New Roman" w:eastAsia="楷体" w:cs="Times New Roman"/>
          <w:color w:val="000000"/>
          <w:sz w:val="28"/>
          <w:szCs w:val="28"/>
        </w:rPr>
        <w:t>“</w:t>
      </w:r>
      <w:r>
        <w:rPr>
          <w:rFonts w:hint="eastAsia" w:ascii="Times New Roman" w:hAnsi="Times New Roman" w:eastAsia="楷体" w:cs="Times New Roman"/>
          <w:color w:val="000000"/>
          <w:sz w:val="28"/>
          <w:szCs w:val="28"/>
        </w:rPr>
        <w:t>突出以本为本，推进四个回归</w:t>
      </w:r>
      <w:r>
        <w:rPr>
          <w:rFonts w:ascii="Times New Roman" w:hAnsi="Times New Roman" w:eastAsia="楷体" w:cs="Times New Roman"/>
          <w:color w:val="000000"/>
          <w:sz w:val="28"/>
          <w:szCs w:val="28"/>
        </w:rPr>
        <w:t>”</w:t>
      </w:r>
      <w:r>
        <w:rPr>
          <w:rFonts w:hint="eastAsia" w:ascii="Times New Roman" w:hAnsi="Times New Roman" w:eastAsia="楷体" w:cs="Times New Roman"/>
          <w:color w:val="000000"/>
          <w:sz w:val="28"/>
          <w:szCs w:val="28"/>
        </w:rPr>
        <w:t>为指导思想，以</w:t>
      </w:r>
      <w:r>
        <w:rPr>
          <w:rFonts w:ascii="Times New Roman" w:hAnsi="Times New Roman" w:eastAsia="楷体" w:cs="Times New Roman"/>
          <w:color w:val="000000"/>
          <w:sz w:val="28"/>
          <w:szCs w:val="28"/>
        </w:rPr>
        <w:t>“一流专业</w:t>
      </w:r>
      <w:r>
        <w:rPr>
          <w:rFonts w:hint="eastAsia" w:ascii="Times New Roman" w:hAnsi="Times New Roman" w:eastAsia="楷体" w:cs="Times New Roman"/>
          <w:color w:val="000000"/>
          <w:sz w:val="28"/>
          <w:szCs w:val="28"/>
        </w:rPr>
        <w:t>建设</w:t>
      </w:r>
      <w:r>
        <w:rPr>
          <w:rFonts w:ascii="Times New Roman" w:hAnsi="Times New Roman" w:eastAsia="楷体" w:cs="Times New Roman"/>
          <w:color w:val="000000"/>
          <w:sz w:val="28"/>
          <w:szCs w:val="28"/>
        </w:rPr>
        <w:t>”、“卓越农林人才教育”、“创新创业教育”为</w:t>
      </w:r>
      <w:r>
        <w:rPr>
          <w:rFonts w:hint="eastAsia" w:ascii="Times New Roman" w:hAnsi="Times New Roman" w:eastAsia="楷体" w:cs="Times New Roman"/>
          <w:color w:val="000000"/>
          <w:sz w:val="28"/>
          <w:szCs w:val="28"/>
        </w:rPr>
        <w:t>重点</w:t>
      </w:r>
      <w:r>
        <w:rPr>
          <w:rFonts w:ascii="Times New Roman" w:hAnsi="Times New Roman" w:eastAsia="楷体" w:cs="Times New Roman"/>
          <w:color w:val="000000"/>
          <w:sz w:val="28"/>
          <w:szCs w:val="28"/>
        </w:rPr>
        <w:t>，在学校“双一流”</w:t>
      </w:r>
      <w:r>
        <w:rPr>
          <w:rFonts w:hint="eastAsia" w:ascii="Times New Roman" w:hAnsi="Times New Roman" w:eastAsia="楷体" w:cs="Times New Roman"/>
          <w:color w:val="000000"/>
          <w:sz w:val="28"/>
          <w:szCs w:val="28"/>
        </w:rPr>
        <w:t>建设</w:t>
      </w:r>
      <w:r>
        <w:rPr>
          <w:rFonts w:ascii="Times New Roman" w:hAnsi="Times New Roman" w:eastAsia="楷体" w:cs="Times New Roman"/>
          <w:color w:val="000000"/>
          <w:sz w:val="28"/>
          <w:szCs w:val="28"/>
        </w:rPr>
        <w:t>背景下，大力推进</w:t>
      </w:r>
      <w:r>
        <w:rPr>
          <w:rFonts w:hint="eastAsia" w:ascii="Times New Roman" w:hAnsi="Times New Roman" w:eastAsia="楷体" w:cs="Times New Roman"/>
          <w:color w:val="000000"/>
          <w:sz w:val="28"/>
          <w:szCs w:val="28"/>
        </w:rPr>
        <w:t>实验实践</w:t>
      </w:r>
      <w:r>
        <w:rPr>
          <w:rFonts w:ascii="Times New Roman" w:hAnsi="Times New Roman" w:eastAsia="楷体" w:cs="Times New Roman"/>
          <w:color w:val="000000"/>
          <w:sz w:val="28"/>
          <w:szCs w:val="28"/>
        </w:rPr>
        <w:t>教学改革，</w:t>
      </w:r>
      <w:r>
        <w:rPr>
          <w:rFonts w:hint="eastAsia" w:ascii="Times New Roman" w:hAnsi="Times New Roman" w:eastAsia="楷体" w:cs="Times New Roman"/>
          <w:color w:val="000000"/>
          <w:sz w:val="28"/>
          <w:szCs w:val="28"/>
        </w:rPr>
        <w:t>积极开发虚拟仿真实验教学项目，不断增加综合型设计性实验实践项目数量和质量，进一步提高中心的实践教育培养能力，提升人才培养质量</w:t>
      </w:r>
      <w:r>
        <w:rPr>
          <w:rFonts w:ascii="Times New Roman" w:hAnsi="Times New Roman" w:eastAsia="楷体" w:cs="Times New Roman"/>
          <w:color w:val="000000"/>
          <w:sz w:val="28"/>
          <w:szCs w:val="28"/>
        </w:rPr>
        <w:t>。</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w:t>
      </w:r>
      <w:r>
        <w:rPr>
          <w:rFonts w:hint="eastAsia" w:ascii="Times New Roman" w:hAnsi="Times New Roman" w:eastAsia="楷体" w:cs="Times New Roman"/>
          <w:b/>
          <w:color w:val="000000"/>
          <w:sz w:val="28"/>
          <w:szCs w:val="28"/>
        </w:rPr>
        <w:t>招聘专职管理人员，补充实验技术人员</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为进一步规范中心的管理、提高中心运行效率，2019年中心计划招聘2名专职管理人员，保障中心的日常管理和运行；建议学校制定中心实验技术队伍建设规划，确保中心实验技术队伍年龄、学历、职称结构科学合理，并能稳定高效、尽职尽责的做好本职工作。</w:t>
      </w:r>
    </w:p>
    <w:p>
      <w:pPr>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w:t>
      </w:r>
      <w:r>
        <w:rPr>
          <w:rFonts w:hint="eastAsia" w:ascii="Times New Roman" w:hAnsi="Times New Roman" w:eastAsia="楷体" w:cs="Times New Roman"/>
          <w:b/>
          <w:color w:val="000000"/>
          <w:sz w:val="28"/>
          <w:szCs w:val="28"/>
        </w:rPr>
        <w:t>三</w:t>
      </w:r>
      <w:r>
        <w:rPr>
          <w:rFonts w:ascii="Times New Roman" w:hAnsi="Times New Roman" w:eastAsia="楷体" w:cs="Times New Roman"/>
          <w:b/>
          <w:color w:val="000000"/>
          <w:sz w:val="28"/>
          <w:szCs w:val="28"/>
        </w:rPr>
        <w:t>）</w:t>
      </w:r>
      <w:r>
        <w:rPr>
          <w:rFonts w:hint="eastAsia" w:ascii="Times New Roman" w:hAnsi="Times New Roman" w:eastAsia="楷体" w:cs="Times New Roman"/>
          <w:b/>
          <w:color w:val="000000"/>
          <w:sz w:val="28"/>
          <w:szCs w:val="28"/>
        </w:rPr>
        <w:t>继续凝练、申报国家教学成果奖</w:t>
      </w:r>
    </w:p>
    <w:p>
      <w:pPr>
        <w:ind w:firstLine="560" w:firstLineChars="200"/>
        <w:rPr>
          <w:rFonts w:ascii="Times New Roman" w:hAnsi="Times New Roman" w:eastAsia="楷体" w:cs="Times New Roman"/>
          <w:color w:val="000000"/>
          <w:sz w:val="28"/>
          <w:szCs w:val="28"/>
        </w:rPr>
      </w:pPr>
      <w:r>
        <w:rPr>
          <w:rFonts w:hint="eastAsia" w:ascii="Times New Roman" w:hAnsi="Times New Roman" w:eastAsia="楷体" w:cs="Times New Roman"/>
          <w:color w:val="000000"/>
          <w:sz w:val="28"/>
          <w:szCs w:val="28"/>
        </w:rPr>
        <w:t>在2018年荣</w:t>
      </w:r>
      <w:r>
        <w:rPr>
          <w:rFonts w:ascii="Times New Roman" w:hAnsi="Times New Roman" w:eastAsia="楷体" w:cs="Times New Roman"/>
          <w:color w:val="000000"/>
          <w:sz w:val="28"/>
          <w:szCs w:val="28"/>
        </w:rPr>
        <w:t>获</w:t>
      </w:r>
      <w:r>
        <w:rPr>
          <w:rFonts w:hint="eastAsia" w:ascii="Times New Roman" w:hAnsi="Times New Roman" w:eastAsia="楷体" w:cs="Times New Roman"/>
          <w:color w:val="000000"/>
          <w:sz w:val="28"/>
          <w:szCs w:val="28"/>
        </w:rPr>
        <w:t>省级</w:t>
      </w:r>
      <w:r>
        <w:rPr>
          <w:rFonts w:ascii="Times New Roman" w:hAnsi="Times New Roman" w:eastAsia="楷体" w:cs="Times New Roman"/>
          <w:color w:val="000000"/>
          <w:sz w:val="28"/>
          <w:szCs w:val="28"/>
        </w:rPr>
        <w:t>教学成果特等奖</w:t>
      </w:r>
      <w:r>
        <w:rPr>
          <w:rFonts w:hint="eastAsia" w:ascii="Times New Roman" w:hAnsi="Times New Roman" w:eastAsia="楷体" w:cs="Times New Roman"/>
          <w:color w:val="000000"/>
          <w:sz w:val="28"/>
          <w:szCs w:val="28"/>
        </w:rPr>
        <w:t>《以培养卓越兽医人才为目标的专业基础课程改革与实践》基础上，进一步加强专业基础课程的建设与改革力度，凝练课程建设与改革的有效措施和做法，推广辐射课程建设与改革的正面经验，继续申报国家级教学成果奖，力争实现国家教学成果奖零突破。</w:t>
      </w:r>
    </w:p>
    <w:p>
      <w:pPr>
        <w:rPr>
          <w:rFonts w:ascii="Times New Roman" w:hAnsi="Times New Roman" w:eastAsia="黑体" w:cs="Times New Roman"/>
          <w:color w:val="000000"/>
          <w:sz w:val="28"/>
          <w:szCs w:val="28"/>
        </w:rPr>
      </w:pPr>
    </w:p>
    <w:p>
      <w:pP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注意事项及说明：</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1.文中内容与后面示范中心数据相对应，必须客观真实，避免使用“国内领先”、“国际一流”等词。</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2.文中介绍的成果必须具有示范中心的署名。</w:t>
      </w:r>
    </w:p>
    <w:p>
      <w:pPr>
        <w:ind w:firstLine="560" w:firstLineChars="200"/>
        <w:rPr>
          <w:rFonts w:ascii="Times New Roman" w:hAnsi="Times New Roman" w:eastAsia="仿宋" w:cs="Times New Roman"/>
          <w:b/>
          <w:bCs/>
          <w:color w:val="000000"/>
          <w:w w:val="90"/>
          <w:sz w:val="28"/>
          <w:szCs w:val="28"/>
        </w:rPr>
      </w:pPr>
      <w:r>
        <w:rPr>
          <w:rFonts w:ascii="Times New Roman" w:hAnsi="Times New Roman" w:eastAsia="楷体" w:cs="Times New Roman"/>
          <w:color w:val="000000"/>
          <w:sz w:val="28"/>
          <w:szCs w:val="28"/>
        </w:rPr>
        <w:t>3.年度报告的表格行数可据实调整，不设附件，请做好相关成果支撑材料的存档工作。</w:t>
      </w:r>
      <w:r>
        <w:rPr>
          <w:rFonts w:ascii="Times New Roman" w:hAnsi="Times New Roman" w:eastAsia="仿宋" w:cs="Times New Roman"/>
          <w:b/>
          <w:bCs/>
          <w:color w:val="000000"/>
          <w:w w:val="90"/>
          <w:sz w:val="28"/>
          <w:szCs w:val="28"/>
        </w:rPr>
        <w:br w:type="page"/>
      </w:r>
    </w:p>
    <w:p>
      <w:pPr>
        <w:jc w:val="center"/>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第二部分示范中心数据</w:t>
      </w:r>
    </w:p>
    <w:p>
      <w:pPr>
        <w:jc w:val="center"/>
        <w:rPr>
          <w:rFonts w:ascii="Times New Roman" w:hAnsi="Times New Roman" w:eastAsia="楷体" w:cs="Times New Roman"/>
          <w:b/>
          <w:bCs/>
          <w:color w:val="000000"/>
          <w:w w:val="90"/>
          <w:sz w:val="28"/>
          <w:szCs w:val="28"/>
        </w:rPr>
      </w:pPr>
      <w:r>
        <w:rPr>
          <w:rFonts w:ascii="Times New Roman" w:hAnsi="Times New Roman" w:eastAsia="楷体" w:cs="Times New Roman"/>
          <w:b/>
          <w:bCs/>
          <w:color w:val="000000"/>
          <w:w w:val="90"/>
          <w:sz w:val="28"/>
          <w:szCs w:val="28"/>
        </w:rPr>
        <w:t>（</w:t>
      </w:r>
      <w:r>
        <w:rPr>
          <w:rFonts w:ascii="Times New Roman" w:hAnsi="Times New Roman" w:eastAsia="楷体" w:cs="Times New Roman"/>
          <w:color w:val="000000"/>
          <w:w w:val="90"/>
          <w:sz w:val="28"/>
          <w:szCs w:val="28"/>
        </w:rPr>
        <w:t>数据采集时间为 1月1日至12月31日</w:t>
      </w:r>
      <w:r>
        <w:rPr>
          <w:rFonts w:ascii="Times New Roman" w:hAnsi="Times New Roman" w:eastAsia="楷体" w:cs="Times New Roman"/>
          <w:b/>
          <w:bCs/>
          <w:color w:val="000000"/>
          <w:w w:val="90"/>
          <w:sz w:val="28"/>
          <w:szCs w:val="28"/>
        </w:rPr>
        <w:t>）</w:t>
      </w:r>
    </w:p>
    <w:p>
      <w:pPr>
        <w:ind w:firstLine="560" w:firstLineChars="200"/>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一、示范中心基本情况</w:t>
      </w:r>
    </w:p>
    <w:tbl>
      <w:tblPr>
        <w:tblStyle w:val="29"/>
        <w:tblW w:w="95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1"/>
        <w:gridCol w:w="1785"/>
        <w:gridCol w:w="644"/>
        <w:gridCol w:w="831"/>
        <w:gridCol w:w="309"/>
        <w:gridCol w:w="1524"/>
        <w:gridCol w:w="599"/>
        <w:gridCol w:w="908"/>
        <w:gridCol w:w="212"/>
        <w:gridCol w:w="81"/>
        <w:gridCol w:w="1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示范中心名称</w:t>
            </w:r>
          </w:p>
        </w:tc>
        <w:tc>
          <w:tcPr>
            <w:tcW w:w="6323" w:type="dxa"/>
            <w:gridSpan w:val="9"/>
          </w:tcPr>
          <w:p>
            <w:pPr>
              <w:rPr>
                <w:rFonts w:ascii="Times New Roman" w:hAnsi="Times New Roman" w:cs="Times New Roman"/>
                <w:bCs/>
                <w:color w:val="000000"/>
              </w:rPr>
            </w:pPr>
            <w:r>
              <w:rPr>
                <w:rFonts w:ascii="Times New Roman" w:hAnsi="Times New Roman" w:cs="Times New Roman"/>
                <w:color w:val="000000"/>
                <w:spacing w:val="-10"/>
              </w:rPr>
              <w:t>动物科学实验教学中心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所在学校名称</w:t>
            </w:r>
          </w:p>
        </w:tc>
        <w:tc>
          <w:tcPr>
            <w:tcW w:w="6323" w:type="dxa"/>
            <w:gridSpan w:val="9"/>
          </w:tcPr>
          <w:p>
            <w:pPr>
              <w:rPr>
                <w:rFonts w:ascii="Times New Roman" w:hAnsi="Times New Roman" w:cs="Times New Roman"/>
                <w:bCs/>
                <w:color w:val="000000"/>
              </w:rPr>
            </w:pPr>
            <w:r>
              <w:rPr>
                <w:rFonts w:ascii="Times New Roman" w:hAnsi="Times New Roman" w:cs="Times New Roman"/>
                <w:bCs/>
                <w:color w:val="000000"/>
              </w:rPr>
              <w:t>西北农林科技大学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主管部门名称</w:t>
            </w:r>
          </w:p>
        </w:tc>
        <w:tc>
          <w:tcPr>
            <w:tcW w:w="6323" w:type="dxa"/>
            <w:gridSpan w:val="9"/>
          </w:tcPr>
          <w:p>
            <w:pPr>
              <w:rPr>
                <w:rFonts w:ascii="Times New Roman" w:hAnsi="Times New Roman" w:cs="Times New Roman"/>
                <w:bCs/>
                <w:color w:val="000000"/>
              </w:rPr>
            </w:pPr>
            <w:r>
              <w:rPr>
                <w:rFonts w:ascii="Times New Roman" w:hAnsi="Times New Roman" w:cs="Times New Roman"/>
                <w:bCs/>
                <w:color w:val="000000"/>
              </w:rPr>
              <w:t>教育部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示范中心门户网址</w:t>
            </w:r>
          </w:p>
        </w:tc>
        <w:tc>
          <w:tcPr>
            <w:tcW w:w="6323" w:type="dxa"/>
            <w:gridSpan w:val="9"/>
          </w:tcPr>
          <w:p>
            <w:pPr>
              <w:rPr>
                <w:rFonts w:ascii="Times New Roman" w:hAnsi="Times New Roman" w:cs="Times New Roman"/>
                <w:bCs/>
                <w:color w:val="000000"/>
              </w:rPr>
            </w:pPr>
            <w:r>
              <w:rPr>
                <w:rFonts w:ascii="Times New Roman" w:hAnsi="Times New Roman" w:cs="Times New Roman"/>
                <w:color w:val="000000"/>
                <w:spacing w:val="-10"/>
              </w:rPr>
              <w:t>http://dkxy.nwsuaf.edu.cn/sfzx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9"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示范中心详细地址</w:t>
            </w:r>
          </w:p>
        </w:tc>
        <w:tc>
          <w:tcPr>
            <w:tcW w:w="3907" w:type="dxa"/>
            <w:gridSpan w:val="5"/>
            <w:vAlign w:val="center"/>
          </w:tcPr>
          <w:p>
            <w:pPr>
              <w:spacing w:line="400" w:lineRule="exact"/>
              <w:jc w:val="center"/>
              <w:rPr>
                <w:rFonts w:ascii="Times New Roman" w:hAnsi="Times New Roman" w:cs="Times New Roman"/>
                <w:bCs/>
                <w:color w:val="000000"/>
              </w:rPr>
            </w:pPr>
            <w:r>
              <w:rPr>
                <w:rFonts w:ascii="Times New Roman" w:hAnsi="Times New Roman" w:cs="Times New Roman"/>
                <w:bCs/>
                <w:color w:val="000000"/>
              </w:rPr>
              <w:t>陕西杨凌西北农林科技大学北校区</w:t>
            </w:r>
          </w:p>
        </w:tc>
        <w:tc>
          <w:tcPr>
            <w:tcW w:w="1201" w:type="dxa"/>
            <w:gridSpan w:val="3"/>
            <w:vAlign w:val="center"/>
          </w:tcPr>
          <w:p>
            <w:pPr>
              <w:jc w:val="center"/>
              <w:rPr>
                <w:rFonts w:ascii="Times New Roman" w:hAnsi="Times New Roman" w:cs="Times New Roman"/>
                <w:bCs/>
                <w:color w:val="000000"/>
              </w:rPr>
            </w:pPr>
            <w:r>
              <w:rPr>
                <w:rFonts w:ascii="Times New Roman" w:hAnsi="Times New Roman" w:cs="Times New Roman"/>
                <w:bCs/>
                <w:color w:val="000000"/>
              </w:rPr>
              <w:t>邮政编码</w:t>
            </w:r>
          </w:p>
        </w:tc>
        <w:tc>
          <w:tcPr>
            <w:tcW w:w="1215" w:type="dxa"/>
            <w:vAlign w:val="center"/>
          </w:tcPr>
          <w:p>
            <w:pPr>
              <w:jc w:val="center"/>
              <w:rPr>
                <w:rFonts w:ascii="Times New Roman" w:hAnsi="Times New Roman" w:cs="Times New Roman"/>
                <w:bCs/>
                <w:color w:val="000000"/>
              </w:rPr>
            </w:pPr>
            <w:r>
              <w:rPr>
                <w:rFonts w:ascii="Times New Roman" w:hAnsi="Times New Roman" w:cs="Times New Roman"/>
                <w:bCs/>
                <w:color w:val="000000"/>
              </w:rPr>
              <w:t>712100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vAlign w:val="center"/>
          </w:tcPr>
          <w:p>
            <w:pPr>
              <w:jc w:val="center"/>
              <w:rPr>
                <w:rFonts w:ascii="Times New Roman" w:hAnsi="Times New Roman" w:cs="Times New Roman"/>
                <w:color w:val="000000"/>
              </w:rPr>
            </w:pPr>
            <w:r>
              <w:rPr>
                <w:rFonts w:ascii="Times New Roman" w:hAnsi="Times New Roman" w:cs="Times New Roman"/>
                <w:color w:val="000000"/>
              </w:rPr>
              <w:t>固定资产情况</w:t>
            </w:r>
          </w:p>
        </w:tc>
        <w:tc>
          <w:tcPr>
            <w:tcW w:w="6323" w:type="dxa"/>
            <w:gridSpan w:val="9"/>
          </w:tcPr>
          <w:p>
            <w:pP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1411" w:type="dxa"/>
            <w:vAlign w:val="center"/>
          </w:tcPr>
          <w:p>
            <w:pPr>
              <w:jc w:val="center"/>
              <w:rPr>
                <w:rFonts w:ascii="Times New Roman" w:hAnsi="Times New Roman" w:cs="Times New Roman"/>
                <w:color w:val="000000"/>
              </w:rPr>
            </w:pPr>
            <w:r>
              <w:rPr>
                <w:rFonts w:ascii="Times New Roman" w:hAnsi="Times New Roman" w:cs="Times New Roman"/>
                <w:color w:val="000000"/>
              </w:rPr>
              <w:t>建筑面积</w:t>
            </w:r>
          </w:p>
        </w:tc>
        <w:tc>
          <w:tcPr>
            <w:tcW w:w="1785" w:type="dxa"/>
            <w:vAlign w:val="center"/>
          </w:tcPr>
          <w:p>
            <w:pPr>
              <w:jc w:val="center"/>
              <w:rPr>
                <w:rFonts w:ascii="Times New Roman" w:hAnsi="Times New Roman" w:cs="Times New Roman"/>
                <w:color w:val="000000"/>
              </w:rPr>
            </w:pPr>
            <w:r>
              <w:rPr>
                <w:rFonts w:ascii="Times New Roman" w:hAnsi="Times New Roman" w:cs="Times New Roman"/>
                <w:bCs/>
                <w:color w:val="000000"/>
              </w:rPr>
              <w:t>336148.80㎡</w:t>
            </w:r>
          </w:p>
        </w:tc>
        <w:tc>
          <w:tcPr>
            <w:tcW w:w="1475" w:type="dxa"/>
            <w:gridSpan w:val="2"/>
          </w:tcPr>
          <w:p>
            <w:pPr>
              <w:rPr>
                <w:rFonts w:ascii="Times New Roman" w:hAnsi="Times New Roman" w:cs="Times New Roman"/>
                <w:color w:val="000000"/>
              </w:rPr>
            </w:pPr>
            <w:r>
              <w:rPr>
                <w:rFonts w:ascii="Times New Roman" w:hAnsi="Times New Roman" w:cs="Times New Roman"/>
                <w:color w:val="000000"/>
              </w:rPr>
              <w:t>设备总值</w:t>
            </w:r>
          </w:p>
        </w:tc>
        <w:tc>
          <w:tcPr>
            <w:tcW w:w="1833" w:type="dxa"/>
            <w:gridSpan w:val="2"/>
          </w:tcPr>
          <w:p>
            <w:pPr>
              <w:rPr>
                <w:rFonts w:ascii="Times New Roman" w:hAnsi="Times New Roman" w:cs="Times New Roman"/>
                <w:bCs/>
              </w:rPr>
            </w:pPr>
            <w:r>
              <w:rPr>
                <w:rFonts w:hint="eastAsia" w:ascii="Times New Roman" w:hAnsi="Times New Roman" w:cs="Times New Roman"/>
                <w:bCs/>
              </w:rPr>
              <w:t>13851.64</w:t>
            </w:r>
            <w:r>
              <w:rPr>
                <w:rFonts w:ascii="Times New Roman" w:hAnsi="Times New Roman" w:cs="Times New Roman"/>
                <w:bCs/>
              </w:rPr>
              <w:t>万元</w:t>
            </w:r>
          </w:p>
        </w:tc>
        <w:tc>
          <w:tcPr>
            <w:tcW w:w="1507" w:type="dxa"/>
            <w:gridSpan w:val="2"/>
          </w:tcPr>
          <w:p>
            <w:pPr>
              <w:rPr>
                <w:rFonts w:ascii="Times New Roman" w:hAnsi="Times New Roman" w:cs="Times New Roman"/>
              </w:rPr>
            </w:pPr>
            <w:r>
              <w:rPr>
                <w:rFonts w:ascii="Times New Roman" w:hAnsi="Times New Roman" w:cs="Times New Roman"/>
              </w:rPr>
              <w:t>设备台数</w:t>
            </w:r>
          </w:p>
        </w:tc>
        <w:tc>
          <w:tcPr>
            <w:tcW w:w="1508" w:type="dxa"/>
            <w:gridSpan w:val="3"/>
          </w:tcPr>
          <w:p>
            <w:pPr>
              <w:rPr>
                <w:rFonts w:ascii="Times New Roman" w:hAnsi="Times New Roman" w:cs="Times New Roman"/>
              </w:rPr>
            </w:pPr>
            <w:r>
              <w:rPr>
                <w:rFonts w:hint="eastAsia" w:ascii="Times New Roman" w:hAnsi="Times New Roman" w:cs="Times New Roman"/>
                <w:bCs/>
              </w:rPr>
              <w:t>10209</w:t>
            </w:r>
            <w:r>
              <w:rPr>
                <w:rFonts w:ascii="Times New Roman" w:hAnsi="Times New Roman" w:cs="Times New Roman"/>
                <w:bCs/>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3196" w:type="dxa"/>
            <w:gridSpan w:val="2"/>
          </w:tcPr>
          <w:p>
            <w:pPr>
              <w:jc w:val="center"/>
              <w:rPr>
                <w:rFonts w:ascii="Times New Roman" w:hAnsi="Times New Roman" w:cs="Times New Roman"/>
                <w:color w:val="000000"/>
              </w:rPr>
            </w:pPr>
            <w:r>
              <w:rPr>
                <w:rFonts w:ascii="Times New Roman" w:hAnsi="Times New Roman" w:cs="Times New Roman"/>
                <w:color w:val="000000"/>
              </w:rPr>
              <w:t>经费投入情况</w:t>
            </w:r>
          </w:p>
        </w:tc>
        <w:tc>
          <w:tcPr>
            <w:tcW w:w="6323" w:type="dxa"/>
            <w:gridSpan w:val="9"/>
          </w:tcPr>
          <w:p>
            <w:pPr>
              <w:jc w:val="center"/>
              <w:rPr>
                <w:rFonts w:ascii="宋体" w:hAnsi="宋体" w:cs="Times New Roman"/>
              </w:rPr>
            </w:pPr>
            <w:r>
              <w:rPr>
                <w:rFonts w:hint="eastAsia" w:ascii="宋体" w:hAnsi="宋体"/>
                <w:bCs/>
              </w:rPr>
              <w:t>本科教学经费投入348.8万元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8" w:hRule="atLeast"/>
          <w:jc w:val="center"/>
        </w:trPr>
        <w:tc>
          <w:tcPr>
            <w:tcW w:w="3840" w:type="dxa"/>
            <w:gridSpan w:val="3"/>
            <w:tcBorders>
              <w:right w:val="single" w:color="auto" w:sz="4" w:space="0"/>
            </w:tcBorders>
            <w:vAlign w:val="center"/>
          </w:tcPr>
          <w:p>
            <w:pPr>
              <w:jc w:val="center"/>
              <w:rPr>
                <w:rFonts w:ascii="Times New Roman" w:hAnsi="Times New Roman" w:cs="Times New Roman"/>
                <w:color w:val="000000"/>
              </w:rPr>
            </w:pPr>
            <w:r>
              <w:rPr>
                <w:rFonts w:ascii="Times New Roman" w:hAnsi="Times New Roman" w:cs="Times New Roman"/>
                <w:color w:val="000000"/>
              </w:rPr>
              <w:t>主管部门年度经费投入</w:t>
            </w:r>
          </w:p>
          <w:p>
            <w:pPr>
              <w:jc w:val="center"/>
              <w:rPr>
                <w:rFonts w:ascii="Times New Roman" w:hAnsi="Times New Roman" w:cs="Times New Roman"/>
                <w:color w:val="000000"/>
              </w:rPr>
            </w:pPr>
            <w:r>
              <w:rPr>
                <w:rFonts w:ascii="Times New Roman" w:hAnsi="Times New Roman" w:cs="Times New Roman"/>
                <w:color w:val="000000"/>
              </w:rPr>
              <w:t>（直属高校不填）</w:t>
            </w:r>
          </w:p>
        </w:tc>
        <w:tc>
          <w:tcPr>
            <w:tcW w:w="1140" w:type="dxa"/>
            <w:gridSpan w:val="2"/>
            <w:tcBorders>
              <w:left w:val="single" w:color="auto" w:sz="4" w:space="0"/>
            </w:tcBorders>
            <w:vAlign w:val="center"/>
          </w:tcPr>
          <w:p>
            <w:pPr>
              <w:ind w:firstLine="235" w:firstLineChars="98"/>
              <w:jc w:val="center"/>
              <w:rPr>
                <w:rFonts w:ascii="Times New Roman" w:hAnsi="Times New Roman" w:cs="Times New Roman"/>
                <w:color w:val="000000"/>
              </w:rPr>
            </w:pPr>
            <w:r>
              <w:rPr>
                <w:rFonts w:ascii="Times New Roman" w:hAnsi="Times New Roman" w:cs="Times New Roman"/>
                <w:color w:val="000000"/>
              </w:rPr>
              <w:t>万元</w:t>
            </w:r>
          </w:p>
        </w:tc>
        <w:tc>
          <w:tcPr>
            <w:tcW w:w="3243" w:type="dxa"/>
            <w:gridSpan w:val="4"/>
            <w:vAlign w:val="center"/>
          </w:tcPr>
          <w:p>
            <w:pPr>
              <w:jc w:val="center"/>
              <w:rPr>
                <w:rFonts w:ascii="Times New Roman" w:hAnsi="Times New Roman" w:cs="Times New Roman"/>
                <w:color w:val="000000"/>
              </w:rPr>
            </w:pPr>
            <w:r>
              <w:rPr>
                <w:rFonts w:ascii="Times New Roman" w:hAnsi="Times New Roman" w:cs="Times New Roman"/>
                <w:color w:val="000000"/>
              </w:rPr>
              <w:t>所在学校年度经费投入</w:t>
            </w:r>
          </w:p>
        </w:tc>
        <w:tc>
          <w:tcPr>
            <w:tcW w:w="1296" w:type="dxa"/>
            <w:gridSpan w:val="2"/>
            <w:vAlign w:val="center"/>
          </w:tcPr>
          <w:p>
            <w:pPr>
              <w:ind w:firstLine="203" w:firstLineChars="97"/>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465</w:t>
            </w:r>
            <w:r>
              <w:rPr>
                <w:rFonts w:ascii="Times New Roman" w:hAnsi="Times New Roman" w:cs="Times New Roman"/>
                <w:color w:val="000000"/>
                <w:sz w:val="21"/>
                <w:szCs w:val="21"/>
              </w:rPr>
              <w:t>万元</w:t>
            </w:r>
          </w:p>
        </w:tc>
      </w:tr>
    </w:tbl>
    <w:p>
      <w:pPr>
        <w:ind w:firstLine="470" w:firstLineChars="196"/>
        <w:rPr>
          <w:rFonts w:ascii="Times New Roman" w:hAnsi="Times New Roman" w:eastAsia="楷体" w:cs="Times New Roman"/>
          <w:color w:val="000000"/>
        </w:rPr>
      </w:pPr>
      <w:r>
        <w:rPr>
          <w:rFonts w:ascii="Times New Roman" w:hAnsi="Times New Roman" w:eastAsia="楷体" w:cs="Times New Roman"/>
          <w:color w:val="000000"/>
        </w:rPr>
        <w:t>注：（1）表中所有名称都必须填写全称。（2）主管部门：所在学校的上级主管部门，可查询教育部发展规划司全国高等学校名单。</w:t>
      </w:r>
    </w:p>
    <w:p>
      <w:pPr>
        <w:ind w:firstLine="560" w:firstLineChars="200"/>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二、人才培养情况</w:t>
      </w:r>
    </w:p>
    <w:p>
      <w:pPr>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（一）示范中心实验教学面向所在学校专业及学生情况</w:t>
      </w:r>
    </w:p>
    <w:tbl>
      <w:tblPr>
        <w:tblStyle w:val="29"/>
        <w:tblW w:w="981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5"/>
        <w:gridCol w:w="3725"/>
        <w:gridCol w:w="1782"/>
        <w:gridCol w:w="1621"/>
        <w:gridCol w:w="1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Merge w:val="restart"/>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5507" w:type="dxa"/>
            <w:gridSpan w:val="2"/>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面向的专业</w:t>
            </w:r>
          </w:p>
        </w:tc>
        <w:tc>
          <w:tcPr>
            <w:tcW w:w="1621" w:type="dxa"/>
            <w:vMerge w:val="restart"/>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学生人数</w:t>
            </w:r>
          </w:p>
        </w:tc>
        <w:tc>
          <w:tcPr>
            <w:tcW w:w="1592" w:type="dxa"/>
            <w:vMerge w:val="restart"/>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6" w:hRule="atLeast"/>
          <w:jc w:val="center"/>
        </w:trPr>
        <w:tc>
          <w:tcPr>
            <w:tcW w:w="1095" w:type="dxa"/>
            <w:vMerge w:val="continue"/>
          </w:tcPr>
          <w:p>
            <w:pPr>
              <w:rPr>
                <w:rFonts w:ascii="Times New Roman" w:hAnsi="Times New Roman" w:eastAsia="仿宋" w:cs="Times New Roman"/>
                <w:b/>
                <w:bCs/>
                <w:color w:val="000000"/>
                <w:sz w:val="28"/>
                <w:szCs w:val="28"/>
              </w:rPr>
            </w:pPr>
          </w:p>
        </w:tc>
        <w:tc>
          <w:tcPr>
            <w:tcW w:w="372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专业名称</w:t>
            </w:r>
          </w:p>
        </w:tc>
        <w:tc>
          <w:tcPr>
            <w:tcW w:w="1782"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年级</w:t>
            </w:r>
          </w:p>
        </w:tc>
        <w:tc>
          <w:tcPr>
            <w:tcW w:w="1621" w:type="dxa"/>
            <w:vMerge w:val="continue"/>
          </w:tcPr>
          <w:p>
            <w:pPr>
              <w:rPr>
                <w:rFonts w:ascii="Times New Roman" w:hAnsi="Times New Roman" w:eastAsia="仿宋" w:cs="Times New Roman"/>
                <w:b/>
                <w:bCs/>
                <w:color w:val="000000"/>
                <w:sz w:val="28"/>
                <w:szCs w:val="28"/>
              </w:rPr>
            </w:pPr>
          </w:p>
        </w:tc>
        <w:tc>
          <w:tcPr>
            <w:tcW w:w="1592" w:type="dxa"/>
            <w:vMerge w:val="continue"/>
          </w:tcPr>
          <w:p>
            <w:pPr>
              <w:rPr>
                <w:rFonts w:ascii="Times New Roman" w:hAnsi="Times New Roman" w:eastAsia="仿宋" w:cs="Times New Roman"/>
                <w:b/>
                <w:bCs/>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2014</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137</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52608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152</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39360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3</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156</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44048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4</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2017</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148</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18064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5</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2018</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176</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6</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2013</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188</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96256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7</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2014</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169</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81744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8</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179</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31120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9</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176</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22944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10</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2017</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188</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12320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11</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动物医学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2018</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192</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12</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草业科学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41</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15744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13</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草业科学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37</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14</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草业科学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2017</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48</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15872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15</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创新生技基地班</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13</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16</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创新生技基地班</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11</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17</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创新生技基地班</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2017</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16</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18</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生技技术</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137</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19</w:t>
            </w:r>
          </w:p>
        </w:tc>
        <w:tc>
          <w:tcPr>
            <w:tcW w:w="3725" w:type="dxa"/>
            <w:vAlign w:val="center"/>
          </w:tcPr>
          <w:p>
            <w:pPr>
              <w:widowControl/>
              <w:jc w:val="center"/>
              <w:textAlignment w:val="center"/>
              <w:rPr>
                <w:rFonts w:ascii="仿宋" w:hAnsi="仿宋" w:eastAsia="仿宋"/>
                <w:b/>
                <w:bCs/>
                <w:color w:val="FF0000"/>
                <w:sz w:val="28"/>
                <w:szCs w:val="28"/>
              </w:rPr>
            </w:pPr>
            <w:r>
              <w:rPr>
                <w:rFonts w:hint="eastAsia" w:ascii="宋体" w:hAnsi="宋体" w:cs="宋体"/>
                <w:color w:val="000000"/>
                <w:kern w:val="0"/>
              </w:rPr>
              <w:t>生技技术</w:t>
            </w:r>
          </w:p>
        </w:tc>
        <w:tc>
          <w:tcPr>
            <w:tcW w:w="1782" w:type="dxa"/>
            <w:vAlign w:val="center"/>
          </w:tcPr>
          <w:p>
            <w:pPr>
              <w:widowControl/>
              <w:jc w:val="center"/>
              <w:textAlignment w:val="center"/>
              <w:rPr>
                <w:rFonts w:ascii="仿宋" w:hAnsi="仿宋" w:eastAsia="仿宋"/>
                <w:b/>
                <w:bCs/>
                <w:color w:val="FF0000"/>
                <w:sz w:val="28"/>
                <w:szCs w:val="28"/>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118</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6528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20</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生物工程</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30</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21</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生物工程</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34</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22</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生物科学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92</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23</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生物科学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82</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24</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食品科学与工程</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57</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1824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25</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水产养殖学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2014</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45</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17280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26</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水产养殖学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2015</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34</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7008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27</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水产养殖学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2016</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44</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18928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28</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水产养殖学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2017</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45</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8320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sz w:val="22"/>
                <w:szCs w:val="22"/>
              </w:rPr>
              <w:t>29</w:t>
            </w:r>
          </w:p>
        </w:tc>
        <w:tc>
          <w:tcPr>
            <w:tcW w:w="3725"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水产养殖学</w:t>
            </w:r>
          </w:p>
        </w:tc>
        <w:tc>
          <w:tcPr>
            <w:tcW w:w="178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2018</w:t>
            </w:r>
          </w:p>
        </w:tc>
        <w:tc>
          <w:tcPr>
            <w:tcW w:w="1621"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55</w:t>
            </w:r>
          </w:p>
        </w:tc>
        <w:tc>
          <w:tcPr>
            <w:tcW w:w="1592" w:type="dxa"/>
            <w:vAlign w:val="center"/>
          </w:tcPr>
          <w:p>
            <w:pPr>
              <w:widowControl/>
              <w:jc w:val="center"/>
              <w:textAlignment w:val="center"/>
              <w:rPr>
                <w:rFonts w:ascii="Times New Roman" w:hAnsi="Times New Roman" w:cs="Times New Roman"/>
                <w:color w:val="000000"/>
              </w:rPr>
            </w:pPr>
            <w:r>
              <w:rPr>
                <w:rFonts w:hint="eastAsia" w:ascii="宋体" w:hAnsi="宋体" w:cs="宋体"/>
                <w:color w:val="000000"/>
                <w:kern w:val="0"/>
              </w:rPr>
              <w:t>880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 w:hRule="atLeast"/>
          <w:jc w:val="center"/>
        </w:trPr>
        <w:tc>
          <w:tcPr>
            <w:tcW w:w="1095" w:type="dxa"/>
            <w:vAlign w:val="center"/>
          </w:tcPr>
          <w:p>
            <w:pPr>
              <w:widowControl/>
              <w:jc w:val="center"/>
              <w:textAlignment w:val="center"/>
              <w:rPr>
                <w:rFonts w:ascii="宋体" w:hAnsi="宋体" w:cs="宋体"/>
                <w:color w:val="000000"/>
                <w:kern w:val="0"/>
                <w:sz w:val="22"/>
                <w:szCs w:val="22"/>
              </w:rPr>
            </w:pPr>
          </w:p>
        </w:tc>
        <w:tc>
          <w:tcPr>
            <w:tcW w:w="3725" w:type="dxa"/>
            <w:vAlign w:val="center"/>
          </w:tcPr>
          <w:p>
            <w:pPr>
              <w:widowControl/>
              <w:jc w:val="center"/>
              <w:textAlignment w:val="center"/>
              <w:rPr>
                <w:rFonts w:ascii="宋体" w:hAnsi="宋体" w:cs="宋体"/>
                <w:color w:val="000000"/>
                <w:kern w:val="0"/>
              </w:rPr>
            </w:pPr>
            <w:r>
              <w:rPr>
                <w:rFonts w:hint="eastAsia" w:ascii="宋体" w:hAnsi="宋体" w:cs="宋体"/>
                <w:color w:val="000000"/>
                <w:kern w:val="0"/>
              </w:rPr>
              <w:t>合计</w:t>
            </w:r>
          </w:p>
        </w:tc>
        <w:tc>
          <w:tcPr>
            <w:tcW w:w="1782" w:type="dxa"/>
            <w:vAlign w:val="center"/>
          </w:tcPr>
          <w:p>
            <w:pPr>
              <w:widowControl/>
              <w:jc w:val="center"/>
              <w:textAlignment w:val="center"/>
              <w:rPr>
                <w:rFonts w:ascii="宋体" w:hAnsi="宋体" w:cs="宋体"/>
                <w:color w:val="000000"/>
                <w:kern w:val="0"/>
              </w:rPr>
            </w:pPr>
          </w:p>
        </w:tc>
        <w:tc>
          <w:tcPr>
            <w:tcW w:w="1621" w:type="dxa"/>
            <w:vAlign w:val="center"/>
          </w:tcPr>
          <w:p>
            <w:pPr>
              <w:widowControl/>
              <w:jc w:val="center"/>
              <w:textAlignment w:val="center"/>
              <w:rPr>
                <w:rFonts w:ascii="宋体" w:hAnsi="宋体" w:cs="宋体"/>
                <w:color w:val="000000"/>
                <w:kern w:val="0"/>
              </w:rPr>
            </w:pPr>
            <w:r>
              <w:rPr>
                <w:rFonts w:hint="eastAsia" w:ascii="宋体" w:hAnsi="宋体" w:cs="宋体"/>
                <w:color w:val="000000"/>
                <w:kern w:val="0"/>
              </w:rPr>
              <w:t>2800</w:t>
            </w:r>
          </w:p>
        </w:tc>
        <w:tc>
          <w:tcPr>
            <w:tcW w:w="1592" w:type="dxa"/>
            <w:vAlign w:val="center"/>
          </w:tcPr>
          <w:p>
            <w:pPr>
              <w:widowControl/>
              <w:jc w:val="center"/>
              <w:textAlignment w:val="center"/>
              <w:rPr>
                <w:rFonts w:ascii="宋体" w:hAnsi="宋体" w:cs="宋体"/>
                <w:color w:val="000000"/>
                <w:kern w:val="0"/>
              </w:rPr>
            </w:pPr>
            <w:r>
              <w:rPr>
                <w:rFonts w:hint="eastAsia" w:ascii="宋体" w:hAnsi="宋体" w:cs="宋体"/>
                <w:color w:val="000000"/>
                <w:kern w:val="0"/>
              </w:rPr>
              <w:t>511376</w:t>
            </w:r>
          </w:p>
        </w:tc>
      </w:tr>
    </w:tbl>
    <w:p>
      <w:pPr>
        <w:ind w:firstLine="470" w:firstLineChars="196"/>
        <w:rPr>
          <w:rFonts w:ascii="Times New Roman" w:hAnsi="Times New Roman" w:eastAsia="楷体" w:cs="Times New Roman"/>
          <w:color w:val="000000"/>
        </w:rPr>
      </w:pPr>
      <w:r>
        <w:rPr>
          <w:rFonts w:ascii="Times New Roman" w:hAnsi="Times New Roman" w:eastAsia="楷体" w:cs="Times New Roman"/>
          <w:color w:val="000000"/>
        </w:rPr>
        <w:t>注：面向的本校专业：实验教学内容列入专业人才培养方案的专业。</w:t>
      </w:r>
    </w:p>
    <w:p>
      <w:pPr>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（二）实验教学资源情况</w:t>
      </w:r>
    </w:p>
    <w:tbl>
      <w:tblPr>
        <w:tblStyle w:val="29"/>
        <w:tblW w:w="970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2"/>
        <w:gridCol w:w="4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jc w:val="center"/>
        </w:trPr>
        <w:tc>
          <w:tcPr>
            <w:tcW w:w="5102" w:type="dxa"/>
          </w:tcPr>
          <w:p>
            <w:pPr>
              <w:jc w:val="center"/>
              <w:rPr>
                <w:rFonts w:ascii="Times New Roman" w:hAnsi="Times New Roman" w:cs="Times New Roman"/>
                <w:color w:val="000000"/>
              </w:rPr>
            </w:pPr>
            <w:r>
              <w:rPr>
                <w:rFonts w:ascii="Times New Roman" w:hAnsi="Times New Roman" w:cs="Times New Roman"/>
                <w:color w:val="000000"/>
              </w:rPr>
              <w:t>实验项目资源总数</w:t>
            </w:r>
          </w:p>
        </w:tc>
        <w:tc>
          <w:tcPr>
            <w:tcW w:w="4599" w:type="dxa"/>
          </w:tcPr>
          <w:p>
            <w:pPr>
              <w:jc w:val="center"/>
              <w:rPr>
                <w:rFonts w:ascii="Times New Roman" w:hAnsi="Times New Roman" w:cs="Times New Roman"/>
                <w:bCs/>
                <w:color w:val="000000"/>
                <w:szCs w:val="21"/>
              </w:rPr>
            </w:pPr>
            <w:r>
              <w:rPr>
                <w:rFonts w:ascii="Times New Roman" w:hAnsi="Times New Roman" w:cs="Times New Roman"/>
                <w:bCs/>
                <w:color w:val="000000"/>
                <w:szCs w:val="21"/>
              </w:rPr>
              <w:t>3</w:t>
            </w:r>
            <w:r>
              <w:rPr>
                <w:rFonts w:hint="eastAsia" w:ascii="Times New Roman" w:hAnsi="Times New Roman" w:cs="Times New Roman"/>
                <w:bCs/>
                <w:color w:val="000000"/>
                <w:szCs w:val="21"/>
              </w:rPr>
              <w:t>6</w:t>
            </w:r>
            <w:r>
              <w:rPr>
                <w:rFonts w:ascii="Times New Roman" w:hAnsi="Times New Roman" w:cs="Times New Roman"/>
                <w:bCs/>
                <w:color w:val="000000"/>
                <w:szCs w:val="21"/>
              </w:rPr>
              <w:t>3个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jc w:val="center"/>
        </w:trPr>
        <w:tc>
          <w:tcPr>
            <w:tcW w:w="5102" w:type="dxa"/>
          </w:tcPr>
          <w:p>
            <w:pPr>
              <w:jc w:val="center"/>
              <w:rPr>
                <w:rFonts w:ascii="Times New Roman" w:hAnsi="Times New Roman" w:cs="Times New Roman"/>
                <w:color w:val="000000"/>
              </w:rPr>
            </w:pPr>
            <w:r>
              <w:rPr>
                <w:rFonts w:ascii="Times New Roman" w:hAnsi="Times New Roman" w:cs="Times New Roman"/>
                <w:color w:val="000000"/>
              </w:rPr>
              <w:t>年度开设实验项目数</w:t>
            </w:r>
          </w:p>
        </w:tc>
        <w:tc>
          <w:tcPr>
            <w:tcW w:w="4599" w:type="dxa"/>
          </w:tcPr>
          <w:p>
            <w:pPr>
              <w:jc w:val="center"/>
              <w:rPr>
                <w:rFonts w:ascii="Times New Roman" w:hAnsi="Times New Roman" w:cs="Times New Roman"/>
                <w:bCs/>
                <w:color w:val="000000"/>
                <w:szCs w:val="21"/>
              </w:rPr>
            </w:pPr>
            <w:r>
              <w:rPr>
                <w:rFonts w:ascii="Times New Roman" w:hAnsi="Times New Roman" w:cs="Times New Roman"/>
                <w:bCs/>
                <w:color w:val="000000"/>
                <w:szCs w:val="21"/>
              </w:rPr>
              <w:t>3</w:t>
            </w:r>
            <w:r>
              <w:rPr>
                <w:rFonts w:hint="eastAsia" w:ascii="Times New Roman" w:hAnsi="Times New Roman" w:cs="Times New Roman"/>
                <w:bCs/>
                <w:color w:val="000000"/>
                <w:szCs w:val="21"/>
              </w:rPr>
              <w:t>6</w:t>
            </w:r>
            <w:r>
              <w:rPr>
                <w:rFonts w:ascii="Times New Roman" w:hAnsi="Times New Roman" w:cs="Times New Roman"/>
                <w:bCs/>
                <w:color w:val="000000"/>
                <w:szCs w:val="21"/>
              </w:rPr>
              <w:t>3个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jc w:val="center"/>
        </w:trPr>
        <w:tc>
          <w:tcPr>
            <w:tcW w:w="5102" w:type="dxa"/>
          </w:tcPr>
          <w:p>
            <w:pPr>
              <w:jc w:val="center"/>
              <w:rPr>
                <w:rFonts w:ascii="Times New Roman" w:hAnsi="Times New Roman" w:cs="Times New Roman"/>
                <w:color w:val="000000"/>
              </w:rPr>
            </w:pPr>
            <w:r>
              <w:rPr>
                <w:rFonts w:ascii="Times New Roman" w:hAnsi="Times New Roman" w:cs="Times New Roman"/>
                <w:color w:val="000000"/>
              </w:rPr>
              <w:t>年度独立设课的实验课程</w:t>
            </w:r>
          </w:p>
        </w:tc>
        <w:tc>
          <w:tcPr>
            <w:tcW w:w="4599" w:type="dxa"/>
          </w:tcPr>
          <w:p>
            <w:pPr>
              <w:jc w:val="center"/>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9</w:t>
            </w:r>
            <w:r>
              <w:rPr>
                <w:rFonts w:ascii="Times New Roman" w:hAnsi="Times New Roman" w:cs="Times New Roman"/>
                <w:bCs/>
                <w:color w:val="000000"/>
                <w:szCs w:val="21"/>
              </w:rPr>
              <w:t>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jc w:val="center"/>
        </w:trPr>
        <w:tc>
          <w:tcPr>
            <w:tcW w:w="5102" w:type="dxa"/>
          </w:tcPr>
          <w:p>
            <w:pPr>
              <w:jc w:val="center"/>
              <w:rPr>
                <w:rFonts w:ascii="Times New Roman" w:hAnsi="Times New Roman" w:cs="Times New Roman"/>
                <w:color w:val="000000"/>
              </w:rPr>
            </w:pPr>
            <w:r>
              <w:rPr>
                <w:rFonts w:ascii="Times New Roman" w:hAnsi="Times New Roman" w:cs="Times New Roman"/>
                <w:color w:val="000000"/>
              </w:rPr>
              <w:t>实验教材总数</w:t>
            </w:r>
          </w:p>
        </w:tc>
        <w:tc>
          <w:tcPr>
            <w:tcW w:w="4599" w:type="dxa"/>
          </w:tcPr>
          <w:p>
            <w:pPr>
              <w:ind w:right="11"/>
              <w:jc w:val="center"/>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1</w:t>
            </w:r>
            <w:r>
              <w:rPr>
                <w:rFonts w:ascii="Times New Roman" w:hAnsi="Times New Roman" w:cs="Times New Roman"/>
                <w:bCs/>
                <w:color w:val="000000"/>
                <w:szCs w:val="21"/>
              </w:rPr>
              <w:t>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jc w:val="center"/>
        </w:trPr>
        <w:tc>
          <w:tcPr>
            <w:tcW w:w="5102" w:type="dxa"/>
          </w:tcPr>
          <w:p>
            <w:pPr>
              <w:jc w:val="center"/>
              <w:rPr>
                <w:rFonts w:ascii="Times New Roman" w:hAnsi="Times New Roman" w:cs="Times New Roman"/>
                <w:color w:val="000000"/>
              </w:rPr>
            </w:pPr>
            <w:r>
              <w:rPr>
                <w:rFonts w:ascii="Times New Roman" w:hAnsi="Times New Roman" w:cs="Times New Roman"/>
                <w:color w:val="000000"/>
              </w:rPr>
              <w:t>年度新增实验教材</w:t>
            </w:r>
          </w:p>
        </w:tc>
        <w:tc>
          <w:tcPr>
            <w:tcW w:w="4599" w:type="dxa"/>
          </w:tcPr>
          <w:p>
            <w:pPr>
              <w:jc w:val="center"/>
              <w:rPr>
                <w:rFonts w:ascii="Times New Roman" w:hAnsi="Times New Roman" w:cs="Times New Roman"/>
                <w:bCs/>
                <w:color w:val="000000"/>
                <w:szCs w:val="21"/>
              </w:rPr>
            </w:pPr>
            <w:r>
              <w:rPr>
                <w:rFonts w:hint="eastAsia" w:ascii="Times New Roman" w:hAnsi="Times New Roman" w:cs="Times New Roman"/>
                <w:bCs/>
                <w:color w:val="000000"/>
                <w:szCs w:val="21"/>
              </w:rPr>
              <w:t>1</w:t>
            </w:r>
            <w:r>
              <w:rPr>
                <w:rFonts w:ascii="Times New Roman" w:hAnsi="Times New Roman" w:cs="Times New Roman"/>
                <w:bCs/>
                <w:color w:val="000000"/>
                <w:szCs w:val="21"/>
              </w:rPr>
              <w:t>种</w:t>
            </w:r>
          </w:p>
        </w:tc>
      </w:tr>
    </w:tbl>
    <w:p>
      <w:pPr>
        <w:rPr>
          <w:rFonts w:ascii="Times New Roman" w:hAnsi="Times New Roman" w:eastAsia="楷体" w:cs="Times New Roman"/>
          <w:color w:val="000000"/>
        </w:rPr>
      </w:pPr>
      <w:r>
        <w:rPr>
          <w:rFonts w:ascii="Times New Roman" w:hAnsi="Times New Roman" w:eastAsia="楷体" w:cs="Times New Roman"/>
          <w:color w:val="000000"/>
        </w:rPr>
        <w:t>注：（1）实验项目：有实验讲义和既往学生实验报告的实验项目。（2）实验教材：由中心固定人员担任主编、正式出版的实验教材。（3）实验课程：在专业培养方案中独立设置学分的实验课程。</w:t>
      </w:r>
    </w:p>
    <w:p>
      <w:pPr>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（三）学生获奖情况</w:t>
      </w:r>
    </w:p>
    <w:tbl>
      <w:tblPr>
        <w:tblStyle w:val="29"/>
        <w:tblW w:w="85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9"/>
        <w:gridCol w:w="40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jc w:val="center"/>
        </w:trPr>
        <w:tc>
          <w:tcPr>
            <w:tcW w:w="4499" w:type="dxa"/>
            <w:vAlign w:val="center"/>
          </w:tcPr>
          <w:p>
            <w:pPr>
              <w:jc w:val="center"/>
              <w:rPr>
                <w:rFonts w:ascii="Times New Roman" w:hAnsi="Times New Roman" w:cs="Times New Roman"/>
                <w:color w:val="000000"/>
              </w:rPr>
            </w:pPr>
            <w:r>
              <w:rPr>
                <w:rFonts w:ascii="Times New Roman" w:hAnsi="Times New Roman" w:cs="Times New Roman"/>
                <w:color w:val="000000"/>
              </w:rPr>
              <w:t>学生获奖人数</w:t>
            </w:r>
          </w:p>
        </w:tc>
        <w:tc>
          <w:tcPr>
            <w:tcW w:w="4056" w:type="dxa"/>
            <w:vAlign w:val="center"/>
          </w:tcPr>
          <w:p>
            <w:pPr>
              <w:jc w:val="center"/>
              <w:rPr>
                <w:rFonts w:ascii="Times New Roman" w:hAnsi="Times New Roman" w:cs="Times New Roman"/>
                <w:color w:val="000000"/>
              </w:rPr>
            </w:pPr>
            <w:r>
              <w:rPr>
                <w:rFonts w:hint="eastAsia" w:ascii="Times New Roman" w:hAnsi="Times New Roman" w:cs="Times New Roman"/>
                <w:color w:val="000000"/>
              </w:rPr>
              <w:t>52</w:t>
            </w:r>
            <w:r>
              <w:rPr>
                <w:rFonts w:ascii="Times New Roman" w:hAnsi="Times New Roman" w:cs="Times New Roman"/>
                <w:color w:val="000000"/>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jc w:val="center"/>
        </w:trPr>
        <w:tc>
          <w:tcPr>
            <w:tcW w:w="4499" w:type="dxa"/>
            <w:vAlign w:val="center"/>
          </w:tcPr>
          <w:p>
            <w:pPr>
              <w:jc w:val="center"/>
              <w:rPr>
                <w:rFonts w:ascii="Times New Roman" w:hAnsi="Times New Roman" w:cs="Times New Roman"/>
                <w:color w:val="000000"/>
              </w:rPr>
            </w:pPr>
            <w:r>
              <w:rPr>
                <w:rFonts w:ascii="Times New Roman" w:hAnsi="Times New Roman" w:cs="Times New Roman"/>
                <w:color w:val="000000"/>
              </w:rPr>
              <w:t>学生发表论文数</w:t>
            </w:r>
          </w:p>
        </w:tc>
        <w:tc>
          <w:tcPr>
            <w:tcW w:w="4056" w:type="dxa"/>
            <w:vAlign w:val="center"/>
          </w:tcPr>
          <w:p>
            <w:pPr>
              <w:jc w:val="center"/>
              <w:rPr>
                <w:rFonts w:ascii="Times New Roman" w:hAnsi="Times New Roman" w:cs="Times New Roman"/>
              </w:rPr>
            </w:pPr>
            <w:r>
              <w:rPr>
                <w:rFonts w:hint="eastAsia" w:ascii="Times New Roman" w:hAnsi="Times New Roman" w:cs="Times New Roman"/>
              </w:rPr>
              <w:t>86</w:t>
            </w:r>
            <w:r>
              <w:rPr>
                <w:rFonts w:ascii="Times New Roman" w:hAnsi="Times New Roman" w:cs="Times New Roman"/>
              </w:rPr>
              <w:t>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7" w:hRule="atLeast"/>
          <w:jc w:val="center"/>
        </w:trPr>
        <w:tc>
          <w:tcPr>
            <w:tcW w:w="4499" w:type="dxa"/>
            <w:vAlign w:val="center"/>
          </w:tcPr>
          <w:p>
            <w:pPr>
              <w:jc w:val="center"/>
              <w:rPr>
                <w:rFonts w:ascii="Times New Roman" w:hAnsi="Times New Roman" w:cs="Times New Roman"/>
                <w:color w:val="000000"/>
              </w:rPr>
            </w:pPr>
            <w:r>
              <w:rPr>
                <w:rFonts w:ascii="Times New Roman" w:hAnsi="Times New Roman" w:cs="Times New Roman"/>
                <w:color w:val="000000"/>
              </w:rPr>
              <w:t>学生获得专利数</w:t>
            </w:r>
          </w:p>
        </w:tc>
        <w:tc>
          <w:tcPr>
            <w:tcW w:w="4056" w:type="dxa"/>
            <w:vAlign w:val="center"/>
          </w:tcPr>
          <w:p>
            <w:pPr>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项</w:t>
            </w:r>
          </w:p>
        </w:tc>
      </w:tr>
    </w:tbl>
    <w:p>
      <w:pPr>
        <w:ind w:firstLine="470" w:firstLineChars="196"/>
        <w:rPr>
          <w:rFonts w:ascii="Times New Roman" w:hAnsi="Times New Roman" w:eastAsia="楷体" w:cs="Times New Roman"/>
          <w:color w:val="000000"/>
        </w:rPr>
      </w:pPr>
      <w:r>
        <w:rPr>
          <w:rFonts w:ascii="Times New Roman" w:hAnsi="Times New Roman" w:eastAsia="楷体" w:cs="Times New Roman"/>
          <w:color w:val="000000"/>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ind w:firstLine="548" w:firstLineChars="196"/>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三、教学改革与科学研究情况</w:t>
      </w:r>
    </w:p>
    <w:p>
      <w:pPr>
        <w:spacing w:after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（一）承担教学改革任务及经费</w:t>
      </w:r>
    </w:p>
    <w:tbl>
      <w:tblPr>
        <w:tblStyle w:val="29"/>
        <w:tblW w:w="87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9"/>
        <w:gridCol w:w="1904"/>
        <w:gridCol w:w="1232"/>
        <w:gridCol w:w="995"/>
        <w:gridCol w:w="1275"/>
        <w:gridCol w:w="993"/>
        <w:gridCol w:w="1173"/>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9" w:type="dxa"/>
            <w:vAlign w:val="center"/>
          </w:tcPr>
          <w:p>
            <w:pPr>
              <w:jc w:val="center"/>
              <w:rPr>
                <w:rFonts w:ascii="Times New Roman" w:hAnsi="Times New Roman" w:cs="Times New Roman"/>
                <w:color w:val="000000"/>
              </w:rPr>
            </w:pPr>
            <w:r>
              <w:rPr>
                <w:rFonts w:ascii="Times New Roman" w:hAnsi="Times New Roman" w:cs="Times New Roman"/>
                <w:color w:val="000000"/>
              </w:rPr>
              <w:t>序号</w:t>
            </w:r>
          </w:p>
        </w:tc>
        <w:tc>
          <w:tcPr>
            <w:tcW w:w="1904" w:type="dxa"/>
            <w:vAlign w:val="center"/>
          </w:tcPr>
          <w:p>
            <w:pPr>
              <w:jc w:val="center"/>
              <w:rPr>
                <w:rFonts w:ascii="Times New Roman" w:hAnsi="Times New Roman" w:cs="Times New Roman"/>
                <w:color w:val="000000"/>
              </w:rPr>
            </w:pPr>
            <w:r>
              <w:rPr>
                <w:rFonts w:ascii="Times New Roman" w:hAnsi="Times New Roman" w:cs="Times New Roman"/>
                <w:color w:val="000000"/>
              </w:rPr>
              <w:t>项目/课题名称</w:t>
            </w:r>
          </w:p>
        </w:tc>
        <w:tc>
          <w:tcPr>
            <w:tcW w:w="1232" w:type="dxa"/>
            <w:vAlign w:val="center"/>
          </w:tcPr>
          <w:p>
            <w:pPr>
              <w:jc w:val="center"/>
              <w:rPr>
                <w:rFonts w:ascii="Times New Roman" w:hAnsi="Times New Roman" w:cs="Times New Roman"/>
                <w:color w:val="000000"/>
              </w:rPr>
            </w:pPr>
            <w:r>
              <w:rPr>
                <w:rFonts w:ascii="Times New Roman" w:hAnsi="Times New Roman" w:cs="Times New Roman"/>
                <w:color w:val="000000"/>
              </w:rPr>
              <w:t>文号</w:t>
            </w:r>
          </w:p>
        </w:tc>
        <w:tc>
          <w:tcPr>
            <w:tcW w:w="995" w:type="dxa"/>
            <w:vAlign w:val="center"/>
          </w:tcPr>
          <w:p>
            <w:pPr>
              <w:jc w:val="center"/>
              <w:rPr>
                <w:rFonts w:ascii="Times New Roman" w:hAnsi="Times New Roman" w:cs="Times New Roman"/>
                <w:color w:val="000000"/>
              </w:rPr>
            </w:pPr>
            <w:r>
              <w:rPr>
                <w:rFonts w:ascii="Times New Roman" w:hAnsi="Times New Roman" w:cs="Times New Roman"/>
                <w:color w:val="000000"/>
              </w:rPr>
              <w:t>负责人</w:t>
            </w:r>
          </w:p>
        </w:tc>
        <w:tc>
          <w:tcPr>
            <w:tcW w:w="1275" w:type="dxa"/>
            <w:vAlign w:val="center"/>
          </w:tcPr>
          <w:p>
            <w:pPr>
              <w:jc w:val="center"/>
              <w:rPr>
                <w:rFonts w:ascii="Times New Roman" w:hAnsi="Times New Roman" w:cs="Times New Roman"/>
                <w:color w:val="000000"/>
              </w:rPr>
            </w:pPr>
            <w:r>
              <w:rPr>
                <w:rFonts w:ascii="Times New Roman" w:hAnsi="Times New Roman" w:cs="Times New Roman"/>
                <w:color w:val="000000"/>
              </w:rPr>
              <w:t>参加人员</w:t>
            </w:r>
          </w:p>
        </w:tc>
        <w:tc>
          <w:tcPr>
            <w:tcW w:w="993" w:type="dxa"/>
            <w:vAlign w:val="center"/>
          </w:tcPr>
          <w:p>
            <w:pPr>
              <w:jc w:val="center"/>
              <w:rPr>
                <w:rFonts w:ascii="Times New Roman" w:hAnsi="Times New Roman" w:cs="Times New Roman"/>
                <w:color w:val="000000"/>
              </w:rPr>
            </w:pPr>
            <w:r>
              <w:rPr>
                <w:rFonts w:ascii="Times New Roman" w:hAnsi="Times New Roman" w:cs="Times New Roman"/>
                <w:color w:val="000000"/>
              </w:rPr>
              <w:t>起止</w:t>
            </w:r>
          </w:p>
          <w:p>
            <w:pPr>
              <w:jc w:val="center"/>
              <w:rPr>
                <w:rFonts w:ascii="Times New Roman" w:hAnsi="Times New Roman" w:cs="Times New Roman"/>
                <w:color w:val="000000"/>
              </w:rPr>
            </w:pPr>
            <w:r>
              <w:rPr>
                <w:rFonts w:ascii="Times New Roman" w:hAnsi="Times New Roman" w:cs="Times New Roman"/>
                <w:color w:val="000000"/>
              </w:rPr>
              <w:t>时间</w:t>
            </w:r>
          </w:p>
        </w:tc>
        <w:tc>
          <w:tcPr>
            <w:tcW w:w="1173" w:type="dxa"/>
            <w:vAlign w:val="center"/>
          </w:tcPr>
          <w:p>
            <w:pPr>
              <w:jc w:val="center"/>
              <w:rPr>
                <w:rFonts w:ascii="Times New Roman" w:hAnsi="Times New Roman" w:cs="Times New Roman"/>
                <w:color w:val="000000"/>
              </w:rPr>
            </w:pPr>
            <w:r>
              <w:rPr>
                <w:rFonts w:ascii="Times New Roman" w:hAnsi="Times New Roman" w:cs="Times New Roman"/>
                <w:color w:val="000000"/>
              </w:rPr>
              <w:t>经费</w:t>
            </w:r>
          </w:p>
          <w:p>
            <w:pPr>
              <w:jc w:val="center"/>
              <w:rPr>
                <w:rFonts w:ascii="Times New Roman" w:hAnsi="Times New Roman" w:cs="Times New Roman"/>
                <w:color w:val="000000"/>
              </w:rPr>
            </w:pPr>
            <w:r>
              <w:rPr>
                <w:rFonts w:ascii="Times New Roman" w:hAnsi="Times New Roman" w:cs="Times New Roman"/>
                <w:color w:val="000000"/>
              </w:rPr>
              <w:t>（万元）</w:t>
            </w:r>
          </w:p>
        </w:tc>
        <w:tc>
          <w:tcPr>
            <w:tcW w:w="709" w:type="dxa"/>
            <w:vAlign w:val="center"/>
          </w:tcPr>
          <w:p>
            <w:pPr>
              <w:jc w:val="center"/>
              <w:rPr>
                <w:rFonts w:ascii="Times New Roman" w:hAnsi="Times New Roman" w:cs="Times New Roman"/>
                <w:color w:val="000000"/>
              </w:rPr>
            </w:pPr>
            <w:r>
              <w:rPr>
                <w:rFonts w:ascii="Times New Roman" w:hAnsi="Times New Roman" w:cs="Times New Roman"/>
                <w:color w:val="000000"/>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9" w:type="dxa"/>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1904"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动科学院双创型人才培养“12345”新模式探索与实践</w:t>
            </w:r>
          </w:p>
        </w:tc>
        <w:tc>
          <w:tcPr>
            <w:tcW w:w="1232"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陕教〔2017〕372号</w:t>
            </w:r>
          </w:p>
        </w:tc>
        <w:tc>
          <w:tcPr>
            <w:tcW w:w="99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胡建宏</w:t>
            </w:r>
          </w:p>
        </w:tc>
        <w:tc>
          <w:tcPr>
            <w:tcW w:w="1275" w:type="dxa"/>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孙超、姚军虎、郭超</w:t>
            </w:r>
          </w:p>
        </w:tc>
        <w:tc>
          <w:tcPr>
            <w:tcW w:w="993"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2017</w:t>
            </w:r>
            <w:r>
              <w:rPr>
                <w:rFonts w:hint="eastAsia" w:ascii="Times New Roman" w:hAnsi="Times New Roman" w:cs="Times New Roman"/>
                <w:color w:val="000000"/>
                <w:sz w:val="21"/>
                <w:szCs w:val="21"/>
              </w:rPr>
              <w:t>-</w:t>
            </w:r>
            <w:r>
              <w:rPr>
                <w:rFonts w:ascii="Times New Roman" w:hAnsi="Times New Roman" w:cs="Times New Roman"/>
                <w:color w:val="000000"/>
                <w:sz w:val="21"/>
                <w:szCs w:val="21"/>
              </w:rPr>
              <w:t>2019</w:t>
            </w:r>
          </w:p>
        </w:tc>
        <w:tc>
          <w:tcPr>
            <w:tcW w:w="1173"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709"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09" w:type="dxa"/>
            <w:vAlign w:val="center"/>
          </w:tcPr>
          <w:p>
            <w:pPr>
              <w:jc w:val="center"/>
              <w:rPr>
                <w:rFonts w:ascii="Times New Roman" w:hAnsi="Times New Roman" w:cs="Times New Roman"/>
                <w:color w:val="000000"/>
              </w:rPr>
            </w:pPr>
            <w:r>
              <w:rPr>
                <w:rFonts w:hint="eastAsia" w:ascii="Times New Roman" w:hAnsi="Times New Roman" w:cs="Times New Roman"/>
                <w:color w:val="000000"/>
              </w:rPr>
              <w:t>2</w:t>
            </w:r>
          </w:p>
        </w:tc>
        <w:tc>
          <w:tcPr>
            <w:tcW w:w="190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新媒体环境下师生互动的机制与载体研究</w:t>
            </w:r>
          </w:p>
        </w:tc>
        <w:tc>
          <w:tcPr>
            <w:tcW w:w="1232"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陕教科规办〔2016〕12号</w:t>
            </w:r>
          </w:p>
        </w:tc>
        <w:tc>
          <w:tcPr>
            <w:tcW w:w="99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龙明秀</w:t>
            </w:r>
          </w:p>
        </w:tc>
        <w:tc>
          <w:tcPr>
            <w:tcW w:w="1275"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杨江涛、何树斌、何学青、呼天明、杨培志、姬便便、郭超</w:t>
            </w:r>
          </w:p>
        </w:tc>
        <w:tc>
          <w:tcPr>
            <w:tcW w:w="993"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2016-2018</w:t>
            </w:r>
          </w:p>
        </w:tc>
        <w:tc>
          <w:tcPr>
            <w:tcW w:w="1173"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w:t>
            </w:r>
          </w:p>
        </w:tc>
        <w:tc>
          <w:tcPr>
            <w:tcW w:w="709" w:type="dxa"/>
            <w:vAlign w:val="center"/>
          </w:tcPr>
          <w:p>
            <w:pPr>
              <w:jc w:val="center"/>
              <w:rPr>
                <w:rFonts w:ascii="Times New Roman" w:hAnsi="Times New Roman" w:cs="Times New Roman"/>
                <w:color w:val="000000"/>
                <w:sz w:val="28"/>
                <w:szCs w:val="28"/>
              </w:rPr>
            </w:pPr>
            <w:r>
              <w:rPr>
                <w:rFonts w:ascii="Times New Roman" w:hAnsi="Times New Roman" w:cs="Times New Roman"/>
                <w:color w:val="000000"/>
                <w:sz w:val="21"/>
                <w:szCs w:val="21"/>
              </w:rPr>
              <w:t>a</w:t>
            </w:r>
          </w:p>
        </w:tc>
      </w:tr>
    </w:tbl>
    <w:p>
      <w:pPr>
        <w:spacing w:beforeLines="50"/>
        <w:ind w:left="2" w:leftChars="1" w:firstLine="480" w:firstLineChars="200"/>
        <w:rPr>
          <w:rFonts w:ascii="Times New Roman" w:hAnsi="Times New Roman" w:eastAsia="楷体" w:cs="Times New Roman"/>
          <w:color w:val="000000"/>
        </w:rPr>
      </w:pPr>
      <w:r>
        <w:rPr>
          <w:rFonts w:ascii="Times New Roman" w:hAnsi="Times New Roman" w:eastAsia="楷体" w:cs="Times New Roman"/>
          <w:color w:val="000000"/>
        </w:rPr>
        <w:t>注：（1）此表填写省部级以上教学改革项目（课题）名称：项目管理部门下达的有正式文号的最小一级子课题名称。（2）文号：项目管理部门下达文件的文号。（3）负责人：必须是中心固定人员。（4）参加人员：所有参加人员，其中研究生、博士后名字后标注*，非本中心人员名字后标注＃。（5）经费：指示范中心本年度实际到账的研究经费。（6）类别：分为a、b两类，a类课题指以示范中心为主的课题；b类课题指本示范中心协同其它单位研究的课题。</w:t>
      </w:r>
    </w:p>
    <w:p>
      <w:pPr>
        <w:spacing w:beforeLines="50" w:afterLines="50"/>
        <w:ind w:firstLine="560" w:firstLineChars="200"/>
        <w:rPr>
          <w:rFonts w:ascii="Times New Roman" w:hAnsi="Times New Roman" w:eastAsia="黑体" w:cs="Times New Roman"/>
          <w:color w:val="000000"/>
          <w:sz w:val="28"/>
          <w:szCs w:val="28"/>
        </w:rPr>
        <w:sectPr>
          <w:footerReference r:id="rId3" w:type="default"/>
          <w:pgSz w:w="11900" w:h="16840"/>
          <w:pgMar w:top="1588" w:right="1644" w:bottom="1440" w:left="1588" w:header="851" w:footer="992" w:gutter="0"/>
          <w:pgNumType w:start="1"/>
          <w:cols w:space="720" w:num="1"/>
          <w:docGrid w:type="lines" w:linePitch="312" w:charSpace="0"/>
        </w:sectPr>
      </w:pPr>
    </w:p>
    <w:p>
      <w:pPr>
        <w:spacing w:beforeLines="50" w:afterLines="50"/>
        <w:ind w:firstLine="560" w:firstLineChars="200"/>
        <w:rPr>
          <w:rFonts w:ascii="Times New Roman" w:hAnsi="Times New Roman" w:eastAsia="楷体" w:cs="Times New Roman"/>
          <w:color w:val="000000"/>
        </w:rPr>
      </w:pPr>
      <w:r>
        <w:rPr>
          <w:rFonts w:ascii="Times New Roman" w:hAnsi="Times New Roman" w:eastAsia="黑体" w:cs="Times New Roman"/>
          <w:color w:val="000000"/>
          <w:sz w:val="28"/>
          <w:szCs w:val="28"/>
        </w:rPr>
        <w:t>（二）承担科研任务及经费</w:t>
      </w:r>
    </w:p>
    <w:tbl>
      <w:tblPr>
        <w:tblStyle w:val="29"/>
        <w:tblW w:w="13990" w:type="dxa"/>
        <w:tblInd w:w="0" w:type="dxa"/>
        <w:tblLayout w:type="fixed"/>
        <w:tblCellMar>
          <w:top w:w="15" w:type="dxa"/>
          <w:left w:w="15" w:type="dxa"/>
          <w:bottom w:w="15" w:type="dxa"/>
          <w:right w:w="15" w:type="dxa"/>
        </w:tblCellMar>
      </w:tblPr>
      <w:tblGrid>
        <w:gridCol w:w="443"/>
        <w:gridCol w:w="4766"/>
        <w:gridCol w:w="2130"/>
        <w:gridCol w:w="1318"/>
        <w:gridCol w:w="727"/>
        <w:gridCol w:w="968"/>
        <w:gridCol w:w="1199"/>
        <w:gridCol w:w="2439"/>
      </w:tblGrid>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序号</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项目/</w:t>
            </w:r>
            <w:r>
              <w:rPr>
                <w:rFonts w:ascii="黑体" w:hAnsi="宋体" w:eastAsia="黑体" w:cs="黑体"/>
                <w:color w:val="000000"/>
                <w:kern w:val="0"/>
              </w:rPr>
              <w:t>课题名称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文号</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负责人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参加人员</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起止时间</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rPr>
            </w:pPr>
            <w:r>
              <w:rPr>
                <w:rFonts w:ascii="Times New Roman" w:hAnsi="Times New Roman" w:cs="Times New Roman"/>
                <w:color w:val="000000"/>
                <w:kern w:val="0"/>
              </w:rPr>
              <w:t>经费（万元）</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rPr>
            </w:pPr>
            <w:r>
              <w:rPr>
                <w:rFonts w:ascii="Times New Roman" w:hAnsi="Times New Roman" w:cs="Times New Roman"/>
                <w:color w:val="000000"/>
                <w:kern w:val="0"/>
              </w:rPr>
              <w:t>类别</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山羊规模化高效安全养殖关键技术集成与示范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2018YFD0501905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史怀平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优质肉牛高效安全养殖技术应用与示范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2018YFD0501700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昝林森</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1125.25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标准化猪人工授精技术体系构建</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2018YFD0501000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 xml:space="preserve">曾文先 </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胡建宏</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w:t>
            </w:r>
          </w:p>
        </w:tc>
        <w:tc>
          <w:tcPr>
            <w:tcW w:w="4766"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牛结核病和牛羊布鲁氏菌病综合防控与净化技术体系建设</w:t>
            </w:r>
          </w:p>
        </w:tc>
        <w:tc>
          <w:tcPr>
            <w:tcW w:w="213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2018YFD0500904</w:t>
            </w:r>
          </w:p>
        </w:tc>
        <w:tc>
          <w:tcPr>
            <w:tcW w:w="1318"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王爱华</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219</w:t>
            </w:r>
          </w:p>
        </w:tc>
        <w:tc>
          <w:tcPr>
            <w:tcW w:w="2439"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西部地区山羊高效安全养殖技术集成与示范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陈玉林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日粮组成与饲养体制对畜禽健康优质肉形成的调控及机制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2018YFD0500400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尹靖东</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55.17</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畜禽养殖绿色安全饲料饲养新技术研发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2018YFD0500600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蔡传江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43.88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北方农区绵羊高效安全养殖技术应用与示范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2018YFD0502102-4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王小龙</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重要人畜共患病食源性病原微生物在动物养殖和屠宰过程中的风险监测和防控技术研究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2018YFD0500504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张彦明</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国家重点研发计划子课题</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泌乳早期奶牛高效养殖技术集成与示范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2018YFD0501601-04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曹阳春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犏牛繁育关键技术应用与示范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2018YFD0502304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苏建民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优质肉牛高效安全养殖技术应用（子课）</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K3010218141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王晶钰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优质肉牛高效安全养殖技术应用与示范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2018YFD0501700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昝林森</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奶牛精准营养与健康养殖关键技术研发与应用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2018BBF33007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姚军虎</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牛羊节本增效的精细化饲养关键技术研发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2017YFD0502005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罗军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畜禽群发普通病早期预警及防控技术集成与应用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2017YFD0502206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蔡传江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牛羊重大动物疫病基因工程疫苗及防控研究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K3010217141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王晶钰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奶牛水牛舒适环境的适宜参数及限值研究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2016YFD0500507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赵辛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2016-2020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167</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表达EGFP</w:t>
            </w:r>
            <w:r>
              <w:rPr>
                <w:rFonts w:hint="eastAsia" w:ascii="宋体" w:hAnsi="宋体" w:cs="宋体"/>
                <w:color w:val="000000"/>
                <w:kern w:val="0"/>
                <w:sz w:val="18"/>
                <w:szCs w:val="18"/>
              </w:rPr>
              <w:t>蛋白新型猪蓝耳病病毒表达载体的构建及优化</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K3080218043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王承宝</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国家级纵向项目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肉牛种质资源培育与创新利用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2015BAD03B04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李青旺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2015-2019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466</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国家科技支撑计划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抗病高产转基因猪新品种的培育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2016ZX08006-003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杨公社</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2009-2020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354.99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国家转基因重大专项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国家肉牛牦牛产业体系专项</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CARS-37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雷初朝</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产业技术体系项目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国家水禽产业技术体系鸭品种资源评价</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CARS-42-02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刘小林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280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产业技术体系项目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国家蚕桑产业技术体系陕北生态桑综合试验站</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CARS-18- SYZ24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苏超</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产业技术体系项目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国家绒毛用羊产业技术体系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CARS-29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陈玉林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产业技术体系项目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基于HO-1</w:t>
            </w:r>
            <w:r>
              <w:rPr>
                <w:rFonts w:hint="eastAsia" w:ascii="宋体" w:hAnsi="宋体" w:cs="宋体"/>
                <w:color w:val="000000"/>
                <w:kern w:val="0"/>
                <w:sz w:val="18"/>
                <w:szCs w:val="18"/>
              </w:rPr>
              <w:t>和</w:t>
            </w:r>
            <w:r>
              <w:rPr>
                <w:rFonts w:ascii="Times New Roman" w:hAnsi="Times New Roman" w:cs="Times New Roman"/>
                <w:color w:val="000000"/>
                <w:kern w:val="0"/>
                <w:sz w:val="18"/>
                <w:szCs w:val="18"/>
              </w:rPr>
              <w:t>NF-κB</w:t>
            </w:r>
            <w:r>
              <w:rPr>
                <w:rFonts w:hint="eastAsia" w:ascii="宋体" w:hAnsi="宋体" w:cs="宋体"/>
                <w:color w:val="000000"/>
                <w:kern w:val="0"/>
                <w:sz w:val="18"/>
                <w:szCs w:val="18"/>
              </w:rPr>
              <w:t>信号通路探究穿心莲内酯及其衍生物抑制</w:t>
            </w:r>
            <w:r>
              <w:rPr>
                <w:rFonts w:ascii="Times New Roman" w:hAnsi="Times New Roman" w:cs="Times New Roman"/>
                <w:color w:val="000000"/>
                <w:kern w:val="0"/>
                <w:sz w:val="18"/>
                <w:szCs w:val="18"/>
              </w:rPr>
              <w:t>PRRSV</w:t>
            </w:r>
            <w:r>
              <w:rPr>
                <w:rFonts w:hint="eastAsia" w:ascii="宋体" w:hAnsi="宋体" w:cs="宋体"/>
                <w:color w:val="000000"/>
                <w:kern w:val="0"/>
                <w:sz w:val="18"/>
                <w:szCs w:val="18"/>
              </w:rPr>
              <w:t>的作用机制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31872521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杜涛峰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w:t>
            </w:r>
            <w:r>
              <w:rPr>
                <w:rFonts w:hint="eastAsia" w:ascii="宋体" w:hAnsi="宋体" w:cs="宋体"/>
                <w:color w:val="000000"/>
                <w:kern w:val="0"/>
                <w:sz w:val="18"/>
                <w:szCs w:val="18"/>
              </w:rPr>
              <w:t>联合</w:t>
            </w:r>
            <w:r>
              <w:rPr>
                <w:rFonts w:ascii="Times New Roman" w:hAnsi="Times New Roman" w:cs="Times New Roman"/>
                <w:color w:val="000000"/>
                <w:kern w:val="0"/>
                <w:sz w:val="18"/>
                <w:szCs w:val="18"/>
              </w:rPr>
              <w:t>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宋体" w:eastAsia="仿宋_GB2312" w:cs="仿宋_GB2312"/>
                <w:color w:val="000000"/>
                <w:sz w:val="20"/>
                <w:szCs w:val="20"/>
              </w:rPr>
            </w:pPr>
            <w:r>
              <w:rPr>
                <w:rFonts w:hint="eastAsia" w:ascii="仿宋_GB2312" w:hAnsi="宋体" w:eastAsia="仿宋_GB2312" w:cs="仿宋_GB2312"/>
                <w:color w:val="000000"/>
                <w:kern w:val="0"/>
                <w:sz w:val="20"/>
                <w:szCs w:val="20"/>
              </w:rPr>
              <w:t>牛前体脂肪细胞增殖分化过程中关键环状</w:t>
            </w:r>
            <w:r>
              <w:rPr>
                <w:rFonts w:ascii="Times New Roman" w:hAnsi="Times New Roman" w:eastAsia="仿宋_GB2312" w:cs="Times New Roman"/>
                <w:color w:val="000000"/>
                <w:kern w:val="0"/>
                <w:sz w:val="20"/>
                <w:szCs w:val="20"/>
              </w:rPr>
              <w:t>RNAcircADs</w:t>
            </w:r>
            <w:r>
              <w:rPr>
                <w:rFonts w:hint="eastAsia" w:ascii="仿宋_GB2312" w:hAnsi="宋体" w:eastAsia="仿宋_GB2312" w:cs="仿宋_GB2312"/>
                <w:color w:val="000000"/>
                <w:kern w:val="0"/>
                <w:sz w:val="20"/>
                <w:szCs w:val="20"/>
              </w:rPr>
              <w:t>的鉴定及调控机制研究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20"/>
                <w:szCs w:val="20"/>
              </w:rPr>
            </w:pPr>
            <w:r>
              <w:rPr>
                <w:rFonts w:ascii="Times New Roman" w:hAnsi="Times New Roman" w:cs="Times New Roman"/>
                <w:color w:val="000000"/>
                <w:kern w:val="0"/>
                <w:sz w:val="20"/>
                <w:szCs w:val="20"/>
              </w:rPr>
              <w:t>31872331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蓝贤勇</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2019-2023</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国家优秀青年科学基金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K3050218038</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姜雨</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p97</w:t>
            </w:r>
            <w:r>
              <w:rPr>
                <w:rFonts w:hint="eastAsia" w:ascii="宋体" w:hAnsi="宋体" w:cs="宋体"/>
                <w:color w:val="000000"/>
                <w:kern w:val="0"/>
                <w:sz w:val="18"/>
                <w:szCs w:val="18"/>
              </w:rPr>
              <w:t>转基因小鼠肺动脉高压动物模型的建立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81873415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殷玉鹏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BMSCs</w:t>
            </w:r>
            <w:r>
              <w:rPr>
                <w:rFonts w:hint="eastAsia" w:ascii="宋体" w:hAnsi="宋体" w:cs="宋体"/>
                <w:color w:val="000000"/>
                <w:kern w:val="0"/>
                <w:sz w:val="18"/>
                <w:szCs w:val="18"/>
              </w:rPr>
              <w:t>向胰岛</w:t>
            </w:r>
            <w:r>
              <w:rPr>
                <w:rFonts w:ascii="Times New Roman" w:hAnsi="Times New Roman" w:cs="Times New Roman"/>
                <w:color w:val="000000"/>
                <w:kern w:val="0"/>
                <w:sz w:val="18"/>
                <w:szCs w:val="18"/>
              </w:rPr>
              <w:t>β-</w:t>
            </w:r>
            <w:r>
              <w:rPr>
                <w:rFonts w:hint="eastAsia" w:ascii="宋体" w:hAnsi="宋体" w:cs="宋体"/>
                <w:color w:val="000000"/>
                <w:kern w:val="0"/>
                <w:sz w:val="18"/>
                <w:szCs w:val="18"/>
              </w:rPr>
              <w:t>细胞分化机理及其分化细胞治疗犬糖尿病可行性研究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31872529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张翊华</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环境压力对城市河流细菌抗生素耐药性的选择及散播机制的研究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31870487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王在照</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基于犬IgG Fc</w:t>
            </w:r>
            <w:r>
              <w:rPr>
                <w:rFonts w:hint="eastAsia" w:ascii="宋体" w:hAnsi="宋体" w:cs="宋体"/>
                <w:color w:val="000000"/>
                <w:kern w:val="0"/>
                <w:sz w:val="18"/>
                <w:szCs w:val="18"/>
              </w:rPr>
              <w:t>片段的基因工程抗体的构建及其长效机制研究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31873006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张小莺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中国黄牛全基因组遗传多样性与资源保护研究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31872317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雷初朝</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GRP78 AS lncRNA调控猪骨骼肌纤维脂质沉积的作用机制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31872979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庞卫军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绒山羊毛乳头细胞外分泌蛋白诱导毛母质细胞增殖的分子机制研究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31872332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陈玉林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CHAF1b</w:t>
            </w:r>
            <w:r>
              <w:rPr>
                <w:rFonts w:hint="eastAsia" w:ascii="宋体" w:hAnsi="宋体" w:cs="宋体"/>
                <w:color w:val="000000"/>
                <w:kern w:val="0"/>
                <w:sz w:val="18"/>
                <w:szCs w:val="18"/>
              </w:rPr>
              <w:t>在牛早期克隆胚胎发育过程中的作用机制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31873001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苏建民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miRNA-200a</w:t>
            </w:r>
            <w:r>
              <w:rPr>
                <w:rFonts w:hint="eastAsia" w:ascii="宋体" w:hAnsi="宋体" w:cs="宋体"/>
                <w:color w:val="000000"/>
                <w:kern w:val="0"/>
                <w:sz w:val="18"/>
                <w:szCs w:val="18"/>
              </w:rPr>
              <w:t>靶向</w:t>
            </w:r>
            <w:r>
              <w:rPr>
                <w:rFonts w:ascii="Times New Roman" w:hAnsi="Times New Roman" w:cs="Times New Roman"/>
                <w:color w:val="000000"/>
                <w:kern w:val="0"/>
                <w:sz w:val="18"/>
                <w:szCs w:val="18"/>
              </w:rPr>
              <w:t>Tfam</w:t>
            </w:r>
            <w:r>
              <w:rPr>
                <w:rFonts w:hint="eastAsia" w:ascii="宋体" w:hAnsi="宋体" w:cs="宋体"/>
                <w:color w:val="000000"/>
                <w:kern w:val="0"/>
                <w:sz w:val="18"/>
                <w:szCs w:val="18"/>
              </w:rPr>
              <w:t>调控线粒体代谢及影响牛胚胎滋养层细胞命运的研究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31872539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华松</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NS2</w:t>
            </w:r>
            <w:r>
              <w:rPr>
                <w:rFonts w:hint="eastAsia" w:ascii="宋体" w:hAnsi="宋体" w:cs="宋体"/>
                <w:color w:val="000000"/>
                <w:kern w:val="0"/>
                <w:sz w:val="18"/>
                <w:szCs w:val="18"/>
              </w:rPr>
              <w:t>蛋白在</w:t>
            </w:r>
            <w:r>
              <w:rPr>
                <w:rFonts w:ascii="Times New Roman" w:hAnsi="Times New Roman" w:cs="Times New Roman"/>
                <w:color w:val="000000"/>
                <w:kern w:val="0"/>
                <w:sz w:val="18"/>
                <w:szCs w:val="18"/>
              </w:rPr>
              <w:t>PPV</w:t>
            </w:r>
            <w:r>
              <w:rPr>
                <w:rFonts w:hint="eastAsia" w:ascii="宋体" w:hAnsi="宋体" w:cs="宋体"/>
                <w:color w:val="000000"/>
                <w:kern w:val="0"/>
                <w:sz w:val="18"/>
                <w:szCs w:val="18"/>
              </w:rPr>
              <w:t>诱导猪胎盘滋养层细胞自噬性死亡过程中的作用及调控机制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31872447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童德文</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PGC7</w:t>
            </w:r>
            <w:r>
              <w:rPr>
                <w:rFonts w:hint="eastAsia" w:ascii="宋体" w:hAnsi="宋体" w:cs="宋体"/>
                <w:color w:val="000000"/>
                <w:kern w:val="0"/>
                <w:sz w:val="18"/>
                <w:szCs w:val="18"/>
              </w:rPr>
              <w:t>及其互作蛋白在</w:t>
            </w:r>
            <w:r>
              <w:rPr>
                <w:rFonts w:ascii="Times New Roman" w:hAnsi="Times New Roman" w:cs="Times New Roman"/>
                <w:color w:val="000000"/>
                <w:kern w:val="0"/>
                <w:sz w:val="18"/>
                <w:szCs w:val="18"/>
              </w:rPr>
              <w:t>Dlk1-Dio3</w:t>
            </w:r>
            <w:r>
              <w:rPr>
                <w:rFonts w:hint="eastAsia" w:ascii="宋体" w:hAnsi="宋体" w:cs="宋体"/>
                <w:color w:val="000000"/>
                <w:kern w:val="0"/>
                <w:sz w:val="18"/>
                <w:szCs w:val="18"/>
              </w:rPr>
              <w:t>印记区的印记维持与保护机制研究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31872355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郭泽坤</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能量负平衡内生信号NEFA</w:t>
            </w:r>
            <w:r>
              <w:rPr>
                <w:rFonts w:hint="eastAsia" w:ascii="宋体" w:hAnsi="宋体" w:cs="宋体"/>
                <w:color w:val="000000"/>
                <w:kern w:val="0"/>
                <w:sz w:val="18"/>
                <w:szCs w:val="18"/>
              </w:rPr>
              <w:t>和</w:t>
            </w:r>
            <w:r>
              <w:rPr>
                <w:rFonts w:ascii="Times New Roman" w:hAnsi="Times New Roman" w:cs="Times New Roman"/>
                <w:color w:val="000000"/>
                <w:kern w:val="0"/>
                <w:sz w:val="18"/>
                <w:szCs w:val="18"/>
              </w:rPr>
              <w:t>BHBA</w:t>
            </w:r>
            <w:r>
              <w:rPr>
                <w:rFonts w:hint="eastAsia" w:ascii="宋体" w:hAnsi="宋体" w:cs="宋体"/>
                <w:color w:val="000000"/>
                <w:kern w:val="0"/>
                <w:sz w:val="18"/>
                <w:szCs w:val="18"/>
              </w:rPr>
              <w:t>介导的</w:t>
            </w:r>
            <w:r>
              <w:rPr>
                <w:rFonts w:ascii="Times New Roman" w:hAnsi="Times New Roman" w:cs="Times New Roman"/>
                <w:color w:val="000000"/>
                <w:kern w:val="0"/>
                <w:sz w:val="18"/>
                <w:szCs w:val="18"/>
              </w:rPr>
              <w:t>UPR</w:t>
            </w:r>
            <w:r>
              <w:rPr>
                <w:rFonts w:hint="eastAsia" w:ascii="宋体" w:hAnsi="宋体" w:cs="宋体"/>
                <w:color w:val="000000"/>
                <w:kern w:val="0"/>
                <w:sz w:val="18"/>
                <w:szCs w:val="18"/>
              </w:rPr>
              <w:t>在奶牛酮病发生发展中的作用机制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31873032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王建国</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牛卵母细胞玻璃化冷冻导致基因组DNA</w:t>
            </w:r>
            <w:r>
              <w:rPr>
                <w:rFonts w:hint="eastAsia" w:ascii="宋体" w:hAnsi="宋体" w:cs="宋体"/>
                <w:color w:val="000000"/>
                <w:kern w:val="0"/>
                <w:sz w:val="18"/>
                <w:szCs w:val="18"/>
              </w:rPr>
              <w:t>甲基化降低的调控机理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31873033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权富生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国家自然科学基金青年基金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K3050218028</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李冉</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与SW</w:t>
            </w:r>
            <w:r>
              <w:rPr>
                <w:rFonts w:hint="eastAsia" w:ascii="宋体" w:hAnsi="宋体" w:cs="宋体"/>
                <w:color w:val="000000"/>
                <w:kern w:val="0"/>
                <w:sz w:val="18"/>
                <w:szCs w:val="18"/>
              </w:rPr>
              <w:t>结合的山羊溶酶体</w:t>
            </w:r>
            <w:r>
              <w:rPr>
                <w:rFonts w:ascii="Times New Roman" w:hAnsi="Times New Roman" w:cs="Times New Roman"/>
                <w:color w:val="000000"/>
                <w:kern w:val="0"/>
                <w:sz w:val="18"/>
                <w:szCs w:val="18"/>
              </w:rPr>
              <w:t>α-</w:t>
            </w:r>
            <w:r>
              <w:rPr>
                <w:rFonts w:hint="eastAsia" w:ascii="宋体" w:hAnsi="宋体" w:cs="宋体"/>
                <w:color w:val="000000"/>
                <w:kern w:val="0"/>
                <w:sz w:val="18"/>
                <w:szCs w:val="18"/>
              </w:rPr>
              <w:t>甘露糖苷酶结构域重置及功能确证</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K3050218209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李勤凡</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2019-2022</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国家自然科学基金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生物钟基因Bmal1通过Cyp11a1调控母猪卵巢颗粒细胞雌激素合成的分子机制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31802047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褚瑰燕</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内质网应激参与DHA促进草鱼脂肪细胞脂解过程的机制研究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31772863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吉红</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lncRNAs调控绒山羊精原干细胞体外诱导分化的分子机制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31672425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胡建宏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双酚A对鱼类精子发生的危害及其分子机制研究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31670523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王在照</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基于定制高密度SNP芯片的绒山羊绒用性状主效基因的鉴定及功能分析</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31572369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陈玉林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2017-2020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国家自然基金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微肽蛋白UBL5</w:t>
            </w:r>
            <w:r>
              <w:rPr>
                <w:rFonts w:hint="eastAsia" w:ascii="宋体" w:hAnsi="宋体" w:cs="宋体"/>
                <w:color w:val="000000"/>
                <w:kern w:val="0"/>
                <w:sz w:val="18"/>
                <w:szCs w:val="18"/>
              </w:rPr>
              <w:t>通过</w:t>
            </w:r>
            <w:r>
              <w:rPr>
                <w:rFonts w:ascii="Times New Roman" w:hAnsi="Times New Roman" w:cs="Times New Roman"/>
                <w:color w:val="000000"/>
                <w:kern w:val="0"/>
                <w:sz w:val="18"/>
                <w:szCs w:val="18"/>
              </w:rPr>
              <w:t>Ube2g1</w:t>
            </w:r>
            <w:r>
              <w:rPr>
                <w:rFonts w:hint="eastAsia" w:ascii="宋体" w:hAnsi="宋体" w:cs="宋体"/>
                <w:color w:val="000000"/>
                <w:kern w:val="0"/>
                <w:sz w:val="18"/>
                <w:szCs w:val="18"/>
              </w:rPr>
              <w:t>可变剪接调控牛胚胎基因组激活的分子机制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31802153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刘旭</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27</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基于AMPK</w:t>
            </w:r>
            <w:r>
              <w:rPr>
                <w:rFonts w:hint="eastAsia" w:ascii="宋体" w:hAnsi="宋体" w:cs="宋体"/>
                <w:color w:val="000000"/>
                <w:kern w:val="0"/>
                <w:sz w:val="18"/>
                <w:szCs w:val="18"/>
              </w:rPr>
              <w:t>调节能量平衡探讨丹参对奶牛子宫内膜炎的治疗机制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31802230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刘迎秋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26</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β-</w:t>
            </w:r>
            <w:r>
              <w:rPr>
                <w:rFonts w:hint="eastAsia" w:ascii="宋体" w:hAnsi="宋体" w:cs="宋体"/>
                <w:color w:val="000000"/>
                <w:kern w:val="0"/>
                <w:sz w:val="18"/>
                <w:szCs w:val="18"/>
              </w:rPr>
              <w:t>羟丁酸在低糖诱导奶山羊神经细胞炎性损伤中的保护作用及其机制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31802154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朱晓岩</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泌乳相关染色质开放位点的鉴定及其对外源基因敲入效率和表达的影响</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31802061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高元鹏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猪、兔和禽戊型肝炎病毒纳米抗体抗病毒感染机制研究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31802216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刘宝元</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2019-2021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猪精原干细胞增殖与分化关键基因和分子标记筛选</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20180204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郑以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陕西省高校科协青年人才托举计划项目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黑番鸭配套系新品种选育效果研究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S2019-YD-QYPY-0360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刘小林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陕西省技术创新引导专项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FGFR1抗体对蛋鸡FGF23信号通路的调控机制研究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2018M641031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任周正</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省部级</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MCR</w:t>
            </w:r>
            <w:r>
              <w:rPr>
                <w:rFonts w:hint="eastAsia" w:ascii="宋体" w:hAnsi="宋体" w:cs="宋体"/>
                <w:color w:val="000000"/>
                <w:kern w:val="0"/>
                <w:sz w:val="18"/>
                <w:szCs w:val="18"/>
              </w:rPr>
              <w:t>基因耐药机制及传播机理的研究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A279021835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陕西省引进博士资助</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种猪高效繁殖</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2018ZDCXL-NY-02-06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李青旺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陕西科技计划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秦巴多鳞白甲鱼人工繁育与产业化开发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董武子</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陕西省科技计划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肉羊适度规模种养一体化绿色健康养殖配套技术研发与示范推广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NYKJ-2018-YL16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张恩平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陕西省农业科技创新转化项目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北京鸭高效养殖技术的示范推广与产业化建设</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2018xy—013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刘小林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陕西省县域重点科技项目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高产优质奶山羊新品系（种）选育研究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2018ZDCXL-NY-01-05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陕西省重大研发计划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仔猪健康养殖关键技术集成与示范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2018ZDXM-NY-035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褚瑰燕</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丘陵沟壑区草畜种养一体化技术集成与示范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2018ZDXM-NY-040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孙秀柱</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家兔品种选育与工厂化繁殖技术集成与示范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2018ZDXM-NY-041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王淑辉</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陕西省重点研发计划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生猪养殖智能化关键技术研发与示范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2018ZDCXL–NY–02–03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庞卫军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陕西省重点研发计划项目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高产奶山羊全程分段饲养管理技术研究与示范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2018ZDXM-NY-033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陕西省重点研发项目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大熊猫高效繁殖新技术研究与示范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2018ZDXM-NY-036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林鹏飞</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陕西省重点研发项目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防治奶牛隐性乳房炎的复方中药新制剂研发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2018NY-001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卿素珠</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18"/>
                <w:szCs w:val="18"/>
              </w:rPr>
            </w:pPr>
            <w:r>
              <w:rPr>
                <w:rFonts w:hint="eastAsia" w:cs="宋体" w:asciiTheme="minorEastAsia" w:hAnsiTheme="minorEastAsia" w:eastAsiaTheme="minorEastAsia"/>
                <w:color w:val="000000"/>
                <w:kern w:val="0"/>
                <w:sz w:val="18"/>
                <w:szCs w:val="18"/>
              </w:rPr>
              <w:t>2018</w:t>
            </w:r>
            <w:r>
              <w:rPr>
                <w:rFonts w:cs="Times New Roman" w:asciiTheme="minorEastAsia" w:hAnsiTheme="minorEastAsia" w:eastAsiaTheme="minorEastAsia"/>
                <w:color w:val="000000"/>
                <w:kern w:val="0"/>
                <w:sz w:val="18"/>
                <w:szCs w:val="18"/>
              </w:rPr>
              <w:t>-</w:t>
            </w:r>
            <w:r>
              <w:rPr>
                <w:rFonts w:hint="eastAsia" w:cs="宋体" w:asciiTheme="minorEastAsia" w:hAnsiTheme="minorEastAsia" w:eastAsiaTheme="minorEastAsia"/>
                <w:color w:val="000000"/>
                <w:kern w:val="0"/>
                <w:sz w:val="18"/>
                <w:szCs w:val="18"/>
              </w:rPr>
              <w:t>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陕西省重点研发项目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微生物发酵饲料养猪关键技术集成与示范推广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NYKJ-2018-YL01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胡建宏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省部级</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陕西省‘三区’科技人员创新创业服务平台建设</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2017ZY-FWJG07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吉红</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省部级</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奶山羊繁殖障碍疫病的综合防治技术研究与集成示范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2018NY-006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齐雪峰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陕西省科技计划项目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肉牛高效健康养殖饲草料精准配制及技术推广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NYKJ-2018-YL09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昝林森</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陕西省农业科技创新转化项目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秦岭细鳞鲑性别差异基因的挖掘与验证</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2018JQ3034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熊冬梅</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陕西省自然基金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调控奶山羊乳蛋白性状的关键基因鉴定与功能验证</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2017BSHEDZZ107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陕西省博士后基金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非折叠蛋白反应在调控奶山羊子宫内膜上皮细胞募集与活化Treg</w:t>
            </w:r>
            <w:r>
              <w:rPr>
                <w:rFonts w:hint="eastAsia" w:ascii="宋体" w:hAnsi="宋体" w:cs="宋体"/>
                <w:color w:val="000000"/>
                <w:kern w:val="0"/>
                <w:sz w:val="18"/>
                <w:szCs w:val="18"/>
              </w:rPr>
              <w:t>的分子机制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周栋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201801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陕西省博士后配套经费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 xml:space="preserve">类固醇激素对山羊子宫 Treg </w:t>
            </w:r>
            <w:r>
              <w:rPr>
                <w:rFonts w:hint="eastAsia" w:ascii="宋体" w:hAnsi="宋体" w:cs="宋体"/>
                <w:color w:val="000000"/>
                <w:kern w:val="0"/>
                <w:sz w:val="18"/>
                <w:szCs w:val="18"/>
              </w:rPr>
              <w:t>细胞募集与活化的调节机制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A279021833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周栋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201801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5"/>
                <w:szCs w:val="15"/>
              </w:rPr>
            </w:pPr>
            <w:r>
              <w:rPr>
                <w:rFonts w:ascii="Times New Roman" w:hAnsi="Times New Roman" w:cs="Times New Roman"/>
                <w:color w:val="000000"/>
                <w:kern w:val="0"/>
                <w:sz w:val="15"/>
                <w:szCs w:val="15"/>
              </w:rPr>
              <w:t>陕西省引进博士资助经费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陕西省引进博士资助经费</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A279021834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陆征</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201801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5"/>
                <w:szCs w:val="15"/>
              </w:rPr>
            </w:pPr>
            <w:r>
              <w:rPr>
                <w:rFonts w:ascii="Times New Roman" w:hAnsi="Times New Roman" w:cs="Times New Roman"/>
                <w:color w:val="000000"/>
                <w:kern w:val="0"/>
                <w:sz w:val="15"/>
                <w:szCs w:val="15"/>
              </w:rPr>
              <w:t>陕西省引进博士资助经费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陕北白绒山羊皮肤毛囊毛乳头细胞必需基因筛选</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2018KJXX-009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王小龙</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陕西省科技新星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发展中国家杰出青年科学家来华工作项目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A189021801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李新平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国际杰青计划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秦川牛公牛繁殖性状相关miRNA鉴定、功能分析及分子标记开发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2018NY-33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党瑞华</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科技创新-农业类</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家养动物资源平台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陈玉林</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科技平台类</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秦岭珍稀水生生物种质资源保护及技术研究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刘海侠</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科研项目合作</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宁夏奶牛研究院项目建设</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K4030218133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靳亚平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宁夏科技厅专项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85</w:t>
            </w:r>
          </w:p>
        </w:tc>
        <w:tc>
          <w:tcPr>
            <w:tcW w:w="4766"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奶牛繁殖障碍性疾病防控</w:t>
            </w:r>
          </w:p>
        </w:tc>
        <w:tc>
          <w:tcPr>
            <w:tcW w:w="213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K3320218028</w:t>
            </w:r>
          </w:p>
        </w:tc>
        <w:tc>
          <w:tcPr>
            <w:tcW w:w="1318"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靳亚平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200</w:t>
            </w:r>
          </w:p>
        </w:tc>
        <w:tc>
          <w:tcPr>
            <w:tcW w:w="2439"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Times New Roman" w:hAnsi="Times New Roman" w:cs="Times New Roman"/>
                <w:color w:val="000000"/>
                <w:sz w:val="18"/>
                <w:szCs w:val="18"/>
              </w:rPr>
            </w:pPr>
            <w:r>
              <w:rPr>
                <w:rFonts w:ascii="Times New Roman" w:hAnsi="Times New Roman" w:cs="Times New Roman"/>
                <w:color w:val="000000"/>
                <w:kern w:val="0"/>
                <w:sz w:val="18"/>
                <w:szCs w:val="18"/>
              </w:rPr>
              <w:t>宁夏自治区重点项目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青海省绵羊规模化养殖中主要疫病防控关键技术集成示范与推广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Times New Roman" w:hAnsi="Times New Roman" w:cs="Times New Roman"/>
                <w:color w:val="000000"/>
                <w:sz w:val="18"/>
                <w:szCs w:val="18"/>
              </w:rPr>
            </w:pPr>
            <w:r>
              <w:rPr>
                <w:rFonts w:ascii="Times New Roman" w:hAnsi="Times New Roman" w:cs="Times New Roman"/>
                <w:color w:val="000000"/>
                <w:kern w:val="0"/>
                <w:sz w:val="18"/>
                <w:szCs w:val="18"/>
              </w:rPr>
              <w:t>2018-NK-125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陈德坤</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青海省科技计划项目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富硒水产品产业化开发      技术创新团队项目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2018TD-021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吉红（主持子课题）</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2018-2021</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省级</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国家生猪产业技术体系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无</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杨公社</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2011-2020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700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无</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洛川生猪试验示范基地建设</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无</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杨公社</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2015-2020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校地合作项目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猪源致病性大肠杆菌β-</w:t>
            </w:r>
            <w:r>
              <w:rPr>
                <w:rFonts w:hint="eastAsia" w:ascii="宋体" w:hAnsi="宋体" w:cs="宋体"/>
                <w:color w:val="000000"/>
                <w:kern w:val="0"/>
                <w:sz w:val="18"/>
                <w:szCs w:val="18"/>
              </w:rPr>
              <w:t>内酰胺酶传播机制及药物防治关键技术</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2018NY-005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刘晓强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一般项目-</w:t>
            </w:r>
            <w:r>
              <w:rPr>
                <w:rFonts w:hint="eastAsia" w:ascii="宋体" w:hAnsi="宋体" w:cs="宋体"/>
                <w:color w:val="000000"/>
                <w:kern w:val="0"/>
                <w:sz w:val="18"/>
                <w:szCs w:val="18"/>
              </w:rPr>
              <w:t>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养殖水体中质粒介导的耐药基因传播机制及药物防治关键技术研究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2018NY-109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刘海侠</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一般项目</w:t>
            </w:r>
            <w:r>
              <w:rPr>
                <w:rFonts w:ascii="Times New Roman" w:hAnsi="Times New Roman" w:cs="Times New Roman"/>
                <w:color w:val="000000"/>
                <w:kern w:val="0"/>
                <w:sz w:val="20"/>
                <w:szCs w:val="20"/>
              </w:rPr>
              <w:t>-</w:t>
            </w:r>
            <w:r>
              <w:rPr>
                <w:rFonts w:hint="eastAsia" w:ascii="宋体" w:hAnsi="宋体" w:cs="宋体"/>
                <w:color w:val="000000"/>
                <w:kern w:val="0"/>
                <w:sz w:val="20"/>
                <w:szCs w:val="20"/>
              </w:rPr>
              <w:t>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高效奶山羊卵母细胞体外成熟技术体系的研究与应用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2018NY-023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魏强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一般项目-</w:t>
            </w:r>
            <w:r>
              <w:rPr>
                <w:rFonts w:hint="eastAsia" w:ascii="宋体" w:hAnsi="宋体" w:cs="宋体"/>
                <w:color w:val="000000"/>
                <w:kern w:val="0"/>
                <w:sz w:val="18"/>
                <w:szCs w:val="18"/>
              </w:rPr>
              <w:t>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生猪养殖重大疫病监测关键技术研发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2018ZDCXL-NY-02-07</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黄勇</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重点产业创新链</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奶山羊快速扩繁技术的集成创新与示范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2018ZDCXL-NY-01-04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李广</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重点产业创新链</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特色地方猪遗传资源开发与优质猪品种选育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2018ZDCXL-NY-02-05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杨公社</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重点产业创新链</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规模化奶山羊场主要疫病防控关键技术研究与示范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2018ZDXM-NY-039</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付明哲</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重点项目-</w:t>
            </w:r>
            <w:r>
              <w:rPr>
                <w:rFonts w:hint="eastAsia" w:ascii="宋体" w:hAnsi="宋体" w:cs="宋体"/>
                <w:color w:val="000000"/>
                <w:kern w:val="0"/>
                <w:sz w:val="18"/>
                <w:szCs w:val="18"/>
              </w:rPr>
              <w:t>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基于大数据平台的猪圆环病毒检测及防控技术研究与示范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2018ZDXM-NY-064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赵晓民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重点项目-</w:t>
            </w:r>
            <w:r>
              <w:rPr>
                <w:rFonts w:hint="eastAsia" w:ascii="宋体" w:hAnsi="宋体" w:cs="宋体"/>
                <w:color w:val="000000"/>
                <w:kern w:val="0"/>
                <w:sz w:val="18"/>
                <w:szCs w:val="18"/>
              </w:rPr>
              <w:t>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优质秦川肉牛新品系选育及高效健康养殖关键技术研究与示范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2018ZDXM-NY-046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赵春平</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重点项目-农业领域</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高不饱和脂肪酸羊奶转基因奶山羊新品种培育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2018ZX0800802B</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罗军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258.92</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转基因生物新品种培育</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CRISPR／Cas9介导的新型双等位无筛选标记转基因技术</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2018ZX0801009B</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张智英</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转基因生物新品种培育重大专项</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多鳞白甲鱼种质资源特征及价值评价</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1.72E+14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刘海侠</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资源保护</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略阳乌鸡产蛋性能调控卵泡转录组研究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2018JM3002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王哲鹏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自然科学基础研究计划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桑树种子对重金属镉胁迫应激机制研究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2018JQ3030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董小龙</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自然科学基础研究计划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热应激条件下孕酮调控奶山羊催乳素分泌的影响研究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2018JM3041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朱晓岩</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自然科学基础研究计划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UBL5</w:t>
            </w:r>
            <w:r>
              <w:rPr>
                <w:rFonts w:hint="eastAsia" w:ascii="宋体" w:hAnsi="宋体" w:cs="宋体"/>
                <w:color w:val="000000"/>
                <w:kern w:val="0"/>
                <w:sz w:val="18"/>
                <w:szCs w:val="18"/>
              </w:rPr>
              <w:t>调控牛早期胚胎发育阻滞的分子机理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2018JQ3035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刘旭</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自然科学基础研究计划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质粒介导ESBLs</w:t>
            </w:r>
            <w:r>
              <w:rPr>
                <w:rFonts w:hint="eastAsia" w:ascii="宋体" w:hAnsi="宋体" w:cs="宋体"/>
                <w:color w:val="000000"/>
                <w:kern w:val="0"/>
                <w:sz w:val="18"/>
                <w:szCs w:val="18"/>
              </w:rPr>
              <w:t>基因传播机制适应性研究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2018JQ3002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自然科学基础研究计划</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低氧相关信号通路在动物肺血管疾病中的作用机制研究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K3350218003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汤海洋</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自然科学基础研究计划-</w:t>
            </w:r>
            <w:r>
              <w:rPr>
                <w:rFonts w:hint="eastAsia" w:ascii="宋体" w:hAnsi="宋体" w:cs="宋体"/>
                <w:color w:val="000000"/>
                <w:kern w:val="0"/>
                <w:sz w:val="18"/>
                <w:szCs w:val="18"/>
              </w:rPr>
              <w:t>杰出青年科学基金项目</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肉鸡绿色环保饲料关键技术集成研发与推广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2.02E+13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杨小军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rPr>
              <w:t>西部地区山羊高效安全养殖技术集成与示范推广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2018YFD0501905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杨雨鑫</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畜禽肠道健康与消化道微生物互作机制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2017YFD0500505</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杨小军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111</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奶山羊原料奶及羊奶粉中牛乳成分的快速精确检测技术研究与示范</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2018ZDCXL-NY-01-06</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陈德坤</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112</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秦岭鸟类重大疫病监测与风险评估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2.02E+13</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赵慧英</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2018-2018</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113</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规范化养殖奶山羊主要疾病防控关键技术创新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2017K01-34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陈德坤</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114</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环境友好型畜禽绿色饲料生产研发与推广</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2018CXY-10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杨小军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纵向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115</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中国博士后科学基金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K3080218012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李冉</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0"/>
                <w:szCs w:val="20"/>
              </w:rPr>
            </w:pP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116</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SMC5/6复合物在精原干细胞增殖与分化中的作用及其机制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2018M641032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郑以</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2019-2020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博士后科学基金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117</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羊绒生长相关lncRNA基因双等位无筛选标记敲除研究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2018T111111</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徐坤</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中国博士后基金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118</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PPARα</w:t>
            </w:r>
            <w:r>
              <w:rPr>
                <w:rFonts w:hint="eastAsia" w:ascii="宋体" w:hAnsi="宋体" w:cs="宋体"/>
                <w:color w:val="000000"/>
                <w:kern w:val="0"/>
                <w:sz w:val="18"/>
                <w:szCs w:val="18"/>
              </w:rPr>
              <w:t>介导肝脏生物钟调控脂质代谢的作用及机制研究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2018T111112</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陈华涛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中国博士后科学基金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119</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TRIB3基因调控奶山羊乳脂合成的分子机制研究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2018T111110</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李聪</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2018-2020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中国博士后科学基金</w:t>
            </w:r>
          </w:p>
        </w:tc>
      </w:tr>
      <w:tr>
        <w:tblPrEx>
          <w:tblLayout w:type="fixed"/>
          <w:tblCellMar>
            <w:top w:w="15" w:type="dxa"/>
            <w:left w:w="15" w:type="dxa"/>
            <w:bottom w:w="15" w:type="dxa"/>
            <w:right w:w="15" w:type="dxa"/>
          </w:tblCellMar>
        </w:tblPrEx>
        <w:trPr>
          <w:trHeight w:val="23"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120</w:t>
            </w:r>
          </w:p>
        </w:tc>
        <w:tc>
          <w:tcPr>
            <w:tcW w:w="47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松弛酶基因影响mcr-1</w:t>
            </w:r>
            <w:r>
              <w:rPr>
                <w:rFonts w:hint="eastAsia" w:ascii="宋体" w:hAnsi="宋体" w:cs="宋体"/>
                <w:color w:val="000000"/>
                <w:kern w:val="0"/>
                <w:sz w:val="18"/>
                <w:szCs w:val="18"/>
              </w:rPr>
              <w:t>基因表达和传播的作用及机制研究</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2018T111114</w:t>
            </w:r>
          </w:p>
        </w:tc>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王娟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kern w:val="0"/>
                <w:sz w:val="18"/>
                <w:szCs w:val="18"/>
              </w:rPr>
              <w:t>2018-2019</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4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中国博士后科学基金</w:t>
            </w:r>
          </w:p>
        </w:tc>
      </w:tr>
    </w:tbl>
    <w:p>
      <w:pPr>
        <w:spacing w:beforeLines="50"/>
        <w:ind w:left="2" w:leftChars="1" w:firstLine="480" w:firstLineChars="200"/>
        <w:rPr>
          <w:rFonts w:ascii="Times New Roman" w:hAnsi="Times New Roman" w:eastAsia="黑体" w:cs="Times New Roman"/>
          <w:color w:val="000000"/>
          <w:sz w:val="28"/>
          <w:szCs w:val="28"/>
        </w:rPr>
      </w:pPr>
      <w:r>
        <w:rPr>
          <w:rFonts w:ascii="Times New Roman" w:hAnsi="Times New Roman" w:eastAsia="楷体" w:cs="Times New Roman"/>
          <w:color w:val="000000"/>
        </w:rPr>
        <w:t>注：此表填写省部级以上科研项目（课题）。</w:t>
      </w:r>
    </w:p>
    <w:p>
      <w:pPr>
        <w:spacing w:beforeLines="50" w:afterLines="50"/>
        <w:ind w:firstLine="560" w:firstLineChars="200"/>
        <w:rPr>
          <w:rFonts w:ascii="Times New Roman" w:hAnsi="Times New Roman" w:eastAsia="黑体" w:cs="Times New Roman"/>
          <w:color w:val="000000"/>
          <w:sz w:val="28"/>
          <w:szCs w:val="28"/>
        </w:rPr>
        <w:sectPr>
          <w:pgSz w:w="16840" w:h="11900" w:orient="landscape"/>
          <w:pgMar w:top="1797" w:right="1440" w:bottom="1797" w:left="1440" w:header="851" w:footer="992" w:gutter="0"/>
          <w:cols w:space="720" w:num="1"/>
          <w:docGrid w:type="linesAndChars" w:linePitch="312" w:charSpace="0"/>
        </w:sectPr>
      </w:pPr>
    </w:p>
    <w:p>
      <w:pPr>
        <w:spacing w:beforeLines="50" w:after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（三）研究成果</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1.专利情况</w:t>
      </w:r>
    </w:p>
    <w:tbl>
      <w:tblPr>
        <w:tblStyle w:val="29"/>
        <w:tblW w:w="8134" w:type="dxa"/>
        <w:tblInd w:w="0" w:type="dxa"/>
        <w:tblLayout w:type="fixed"/>
        <w:tblCellMar>
          <w:top w:w="15" w:type="dxa"/>
          <w:left w:w="15" w:type="dxa"/>
          <w:bottom w:w="15" w:type="dxa"/>
          <w:right w:w="15" w:type="dxa"/>
        </w:tblCellMar>
      </w:tblPr>
      <w:tblGrid>
        <w:gridCol w:w="385"/>
        <w:gridCol w:w="2519"/>
        <w:gridCol w:w="1949"/>
        <w:gridCol w:w="616"/>
        <w:gridCol w:w="990"/>
        <w:gridCol w:w="675"/>
        <w:gridCol w:w="1000"/>
      </w:tblGrid>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序号</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专利名称</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专利授权号</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获准国别</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完成人</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类型</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color w:val="000000"/>
              </w:rPr>
            </w:pPr>
            <w:r>
              <w:rPr>
                <w:rFonts w:hint="eastAsia" w:ascii="黑体" w:hAnsi="黑体" w:eastAsia="黑体" w:cs="黑体"/>
                <w:color w:val="000000"/>
                <w:kern w:val="0"/>
              </w:rPr>
              <w:t>类别</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鉴别番鸭蛋的分子标记及其应用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2.01511E+11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王哲鹏</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一种饲料加工除异味装置</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ZL201721340109.5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曹阳春</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一种饲料智能筛选送料装置</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ZL201721340933.0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曹阳春</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一种奶牛粗饲料粉碎机</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ZL201820031783.3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曹阳春</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一种绵羊低氧适应性的快速筛选方法及其应用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 201510390288.2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王喜宏</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一种农杆菌漆酶类似基因及其应用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 2015 1 0209774.X</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赵辛</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一种预防</w:t>
            </w:r>
            <w:r>
              <w:rPr>
                <w:color w:val="000000"/>
                <w:kern w:val="0"/>
                <w:sz w:val="22"/>
                <w:szCs w:val="22"/>
              </w:rPr>
              <w:t>/</w:t>
            </w:r>
            <w:r>
              <w:rPr>
                <w:rFonts w:hint="eastAsia" w:ascii="宋体" w:hAnsi="宋体" w:cs="宋体"/>
                <w:color w:val="000000"/>
                <w:kern w:val="0"/>
                <w:sz w:val="22"/>
                <w:szCs w:val="22"/>
              </w:rPr>
              <w:t>治疗羊尿石症的组合物及其制备方法和应用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ZL201410649161.3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李广</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山羊</w:t>
            </w:r>
            <w:r>
              <w:rPr>
                <w:color w:val="000000"/>
                <w:kern w:val="0"/>
                <w:sz w:val="22"/>
                <w:szCs w:val="22"/>
              </w:rPr>
              <w:t>ATBF1</w:t>
            </w:r>
            <w:r>
              <w:rPr>
                <w:rFonts w:hint="eastAsia" w:ascii="宋体" w:hAnsi="宋体" w:cs="宋体"/>
                <w:color w:val="000000"/>
                <w:kern w:val="0"/>
                <w:sz w:val="22"/>
                <w:szCs w:val="22"/>
              </w:rPr>
              <w:t>基因单核苷酸多态性的检测方法及其应用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ZL201510250256.2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蓝贤勇</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含咪唑类功能基团的香豆素类化合物及其制备方法和应用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ZL201610207203.7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王高学</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含卤素或苯并咪唑类功能基团的香豆素类衍生物及其制备方法和应用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ZL201610204223.9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王高学</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一种提高苜蓿消化率的栽培方法</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ZL201610052705.7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杨培志</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一种利用微小核糖核酸提高牛克隆效率的方法</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ZL201610537461.1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张涌</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通用</w:t>
            </w:r>
            <w:r>
              <w:rPr>
                <w:color w:val="000000"/>
                <w:kern w:val="0"/>
                <w:sz w:val="22"/>
                <w:szCs w:val="22"/>
              </w:rPr>
              <w:t>RGEN</w:t>
            </w:r>
            <w:r>
              <w:rPr>
                <w:rFonts w:hint="eastAsia" w:ascii="宋体" w:hAnsi="宋体" w:cs="宋体"/>
                <w:color w:val="000000"/>
                <w:kern w:val="0"/>
                <w:sz w:val="22"/>
                <w:szCs w:val="22"/>
              </w:rPr>
              <w:t>基因编辑靶位点快速筛选系统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ZL201710250569.7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张涌</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一种基于</w:t>
            </w:r>
            <w:r>
              <w:rPr>
                <w:color w:val="000000"/>
                <w:kern w:val="0"/>
                <w:sz w:val="22"/>
                <w:szCs w:val="22"/>
              </w:rPr>
              <w:t>TALEN</w:t>
            </w:r>
            <w:r>
              <w:rPr>
                <w:rFonts w:hint="eastAsia" w:ascii="宋体" w:hAnsi="宋体" w:cs="宋体"/>
                <w:color w:val="000000"/>
                <w:kern w:val="0"/>
                <w:sz w:val="22"/>
                <w:szCs w:val="22"/>
              </w:rPr>
              <w:t>介导的基因打靶敲除山羊</w:t>
            </w:r>
            <w:r>
              <w:rPr>
                <w:color w:val="000000"/>
                <w:kern w:val="0"/>
                <w:sz w:val="22"/>
                <w:szCs w:val="22"/>
              </w:rPr>
              <w:t>BLG</w:t>
            </w:r>
            <w:r>
              <w:rPr>
                <w:rFonts w:hint="eastAsia" w:ascii="宋体" w:hAnsi="宋体" w:cs="宋体"/>
                <w:color w:val="000000"/>
                <w:kern w:val="0"/>
                <w:sz w:val="22"/>
                <w:szCs w:val="22"/>
              </w:rPr>
              <w:t>的载体及重组细胞</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ZL201510131862.2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张涌</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甘氨酸在制备防治葛根素注射剂诱发的血管内溶血的药物上的应用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201410248103X</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李新平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羊口疮病毒低含量样品的病毒分离方法</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 201510152702.6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陈德坤</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一种羊口疮病毒的快速分离方法</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w:t>
            </w:r>
            <w:r>
              <w:rPr>
                <w:color w:val="000000"/>
                <w:kern w:val="0"/>
                <w:sz w:val="22"/>
                <w:szCs w:val="22"/>
              </w:rPr>
              <w:t>L 201510077329.2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陈德坤</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一种促进奶山羊精原干细胞的自我更新和增殖的载体及其应用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ZL201410706339.3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华进联</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19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一种检测禽戊型肝炎病毒特异性抗体的阻断</w:t>
            </w:r>
            <w:r>
              <w:rPr>
                <w:color w:val="000000"/>
                <w:kern w:val="0"/>
                <w:sz w:val="22"/>
                <w:szCs w:val="22"/>
              </w:rPr>
              <w:t>ELISA</w:t>
            </w:r>
            <w:r>
              <w:rPr>
                <w:rFonts w:hint="eastAsia" w:ascii="宋体" w:hAnsi="宋体" w:cs="宋体"/>
                <w:color w:val="000000"/>
                <w:kern w:val="0"/>
                <w:sz w:val="22"/>
                <w:szCs w:val="22"/>
              </w:rPr>
              <w:t>方法</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2.0131E+11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赵钦</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一种苦马豆素降解酶的编码基因及应用</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ZL 2015 1 0025831.9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王妍</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专利</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基于物联网的蛋鸡种质资源规范系统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2018SR838391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闵育娜</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基于物联网的肉鸡规模化养殖场饲养环境调控技术系统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2018SR838689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闵育娜</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高通量测序技术的应用技术系统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2018SR806512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高通量测序技术的信息化技术系统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2018SR817111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基因打靶原理与技术应用系统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2018SR821078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秦川肉牛种质资源创新评价规范系统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2018SR838698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秦川牛健康养殖技术规程系统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2018SR839053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绿色富硒肉猪无害化处理技术系统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2018SR738812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29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绿色富硒肉猪高效健康养殖技术系统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2018SR725290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绿色富硒肉猪养殖场环境管理系统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2018SR725277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绿色富硒猪肉生产技术规程系统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2018SR724372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绿色富硒猪肉质量评定系统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2018SR843505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绿色富硒肉猪养殖场环境卫生监测系统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2018SR843495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绿色富硒牧草饲料作物生产技术规范系统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2018SR596616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绿色富硒肉牛精准化饲养管理技术系统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2018SR596629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绿色富硒肉牛营养需要系统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2018SR596605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绿色富硒肉牛生产技术规范系统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2018SR573606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绿色富硒腊肉生产技术规范系统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2018SR573613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39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绿色富硒肉牛疫病防治技术系统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2018SR573630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绿色富硒配合饲料生产技术规程系统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2018SR573633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绿色富硒肉羊高效健康饲养管理技术系统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2018SR816358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绿色富硒肉羊疫病防治技术系统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2018SR817110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绿色富硒肉羊生产技术规程系统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2018SR821083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绿色富硒羊肉质量标准系统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2018SR821089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绿色富硒肉羊生产基地环境质量控制系统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2018SR820944</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绿色富硒鸡蛋生产技术规程系统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2018SR725285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绿色富硒肉鸡疫病检测和无害化处理技术系统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2018SR723763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绿色富硒肉鸡环境质量控制技术系统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2018SR596657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49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绿色富硒肉鸡饲养管理技术系统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2018SR596623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绿色富硒肉鸡生产技术系统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2018SR787014</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绿色富硒蛋鸡饲养管理技术系统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2018SR843483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牛生产学教学管理系统</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2018SR776063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成功</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QTL连锁定位的关键技术系统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2018SR806507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基因表达谱芯片的信息化技术系统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2018SR806521</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基因组</w:t>
            </w:r>
            <w:r>
              <w:rPr>
                <w:color w:val="000000"/>
                <w:kern w:val="0"/>
                <w:sz w:val="22"/>
                <w:szCs w:val="22"/>
              </w:rPr>
              <w:t>DNA</w:t>
            </w:r>
            <w:r>
              <w:rPr>
                <w:rFonts w:hint="eastAsia" w:ascii="宋体" w:hAnsi="宋体" w:cs="宋体"/>
                <w:color w:val="000000"/>
                <w:kern w:val="0"/>
                <w:sz w:val="22"/>
                <w:szCs w:val="22"/>
              </w:rPr>
              <w:t>检测芯片的应用技术系统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2018SR806518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荧光原位杂交及其应用技术系统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2018SR817107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肉牛浓缩饲料标准系统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2018SR6121924</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肉牛卫生管理疾病防治技术规范系统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2018SR921922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59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肉牛精料补充饲料标准系统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2018SR922152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肉牛传染病防治技术规范系统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2018SR921103</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青贮饲料调制和使用技术规范系统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2018SR924134</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肉牛寄生虫病防治技术规范系统</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2018SR924135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合作完成—第一人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籽粒苋的栽培技术系统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2018SR847226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豆科牧草干草质量分级标准系统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2018SR847348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沙打旺牧草生产技术规程系统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2018SR842476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豆科牧草抗寒性鉴定技术系统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2018SR842758</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墨西哥玉米高产栽培技术系统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2018SR785879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冰草的信息化技术系统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2018SR785886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69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豆科牧草耐盐性鉴定技术系统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2018SR785695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羊草的智能化管理系统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2018SR785682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草地早熟禾的信息化技术系统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2018SR785687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72</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苏丹草的精细化栽培技术系统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2018SR785965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73</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禾本科牧草干草质量分级标准系统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2018SR785616</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74</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豆科牧草种质资源评价规范系统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2018SR785897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75</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无芒雀麦的信息化技术系统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2018SR738810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76</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燕麦干草的质量标准等级评价系统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2018SR738807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77</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紫花苜蓿栽培技术规程系统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2018SR738809</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78</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草地早熟禾主栽品种的生物学特性系统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2018SR725070</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79</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高粱的精细化管理技术系统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2018SR724362</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80</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普通红豆草的精细化栽培技术系统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2018SR724367</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r>
        <w:tblPrEx>
          <w:tblLayout w:type="fixed"/>
          <w:tblCellMar>
            <w:top w:w="15" w:type="dxa"/>
            <w:left w:w="15" w:type="dxa"/>
            <w:bottom w:w="15" w:type="dxa"/>
            <w:right w:w="15" w:type="dxa"/>
          </w:tblCellMar>
        </w:tblPrEx>
        <w:trPr>
          <w:trHeight w:val="23" w:hRule="atLeast"/>
        </w:trPr>
        <w:tc>
          <w:tcPr>
            <w:tcW w:w="38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sz w:val="22"/>
                <w:szCs w:val="22"/>
              </w:rPr>
            </w:pPr>
            <w:r>
              <w:rPr>
                <w:rFonts w:ascii="Times New Roman" w:hAnsi="Times New Roman" w:cs="Times New Roman"/>
                <w:color w:val="000000"/>
                <w:kern w:val="0"/>
                <w:sz w:val="22"/>
                <w:szCs w:val="22"/>
              </w:rPr>
              <w:t>81</w:t>
            </w:r>
          </w:p>
        </w:tc>
        <w:tc>
          <w:tcPr>
            <w:tcW w:w="25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 xml:space="preserve">多年生黑麦草的信息化技术系统 </w:t>
            </w:r>
            <w:r>
              <w:rPr>
                <w:color w:val="000000"/>
                <w:kern w:val="0"/>
                <w:sz w:val="22"/>
                <w:szCs w:val="22"/>
              </w:rPr>
              <w:t>V1.0</w:t>
            </w:r>
          </w:p>
        </w:tc>
        <w:tc>
          <w:tcPr>
            <w:tcW w:w="19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2018SR722865</w:t>
            </w:r>
          </w:p>
        </w:tc>
        <w:tc>
          <w:tcPr>
            <w:tcW w:w="6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中国</w:t>
            </w:r>
          </w:p>
        </w:tc>
        <w:tc>
          <w:tcPr>
            <w:tcW w:w="9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6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软件</w:t>
            </w:r>
          </w:p>
        </w:tc>
        <w:tc>
          <w:tcPr>
            <w:tcW w:w="10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独立完成—第一人</w:t>
            </w: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1）国内外同内容的专利不得重复统计。（2）专利：批准的发明专利，以证书为准。（3）完成人：所有完成人，排序以证书为准。（4）类型：其它等同于发明专利的成果，如新药、软件、标准、规范等，在类型栏中标明。（5）类别：分四种，独立完成、合作完成—第一人、合作完成—第二人、合作完成—其它。如果成果全部由示范中心固定人员完成的则为独立完成。如果成果由示范中心与其它单位合作完成，第一完成人是示范中心固定人员则为合作完成—第一人；第二完成人是示范中心固定人员则为合作完成—第二人，第三及以后完成人是示范中心固定人员则为合作完成—其它。（以下类同）</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2.发表论文、专著情况</w:t>
      </w:r>
    </w:p>
    <w:tbl>
      <w:tblPr>
        <w:tblStyle w:val="29"/>
        <w:tblW w:w="920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930"/>
        <w:gridCol w:w="953"/>
        <w:gridCol w:w="1535"/>
        <w:gridCol w:w="1303"/>
        <w:gridCol w:w="897"/>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2930" w:type="dxa"/>
            <w:vAlign w:val="center"/>
          </w:tcPr>
          <w:p>
            <w:pPr>
              <w:jc w:val="center"/>
              <w:rPr>
                <w:rFonts w:ascii="Times New Roman" w:hAnsi="Times New Roman" w:eastAsia="黑体" w:cs="Times New Roman"/>
              </w:rPr>
            </w:pPr>
            <w:r>
              <w:rPr>
                <w:rFonts w:ascii="Times New Roman" w:hAnsi="Times New Roman" w:eastAsia="黑体" w:cs="Times New Roman"/>
              </w:rPr>
              <w:t>论文或专著名称</w:t>
            </w:r>
          </w:p>
        </w:tc>
        <w:tc>
          <w:tcPr>
            <w:tcW w:w="953" w:type="dxa"/>
            <w:vAlign w:val="center"/>
          </w:tcPr>
          <w:p>
            <w:pPr>
              <w:jc w:val="center"/>
              <w:rPr>
                <w:rFonts w:ascii="Times New Roman" w:hAnsi="Times New Roman" w:eastAsia="黑体" w:cs="Times New Roman"/>
              </w:rPr>
            </w:pPr>
            <w:r>
              <w:rPr>
                <w:rFonts w:ascii="Times New Roman" w:hAnsi="Times New Roman" w:eastAsia="黑体" w:cs="Times New Roman"/>
              </w:rPr>
              <w:t>作者</w:t>
            </w:r>
          </w:p>
        </w:tc>
        <w:tc>
          <w:tcPr>
            <w:tcW w:w="1535" w:type="dxa"/>
            <w:vAlign w:val="center"/>
          </w:tcPr>
          <w:p>
            <w:pPr>
              <w:jc w:val="center"/>
              <w:rPr>
                <w:rFonts w:ascii="Times New Roman" w:hAnsi="Times New Roman" w:eastAsia="黑体" w:cs="Times New Roman"/>
              </w:rPr>
            </w:pPr>
            <w:r>
              <w:rPr>
                <w:rFonts w:ascii="Times New Roman" w:hAnsi="Times New Roman" w:eastAsia="黑体" w:cs="Times New Roman"/>
              </w:rPr>
              <w:t>刊物、出版社名称</w:t>
            </w:r>
          </w:p>
        </w:tc>
        <w:tc>
          <w:tcPr>
            <w:tcW w:w="1303" w:type="dxa"/>
            <w:vAlign w:val="center"/>
          </w:tcPr>
          <w:p>
            <w:pPr>
              <w:jc w:val="center"/>
              <w:rPr>
                <w:rFonts w:ascii="Times New Roman" w:hAnsi="Times New Roman" w:eastAsia="黑体" w:cs="Times New Roman"/>
              </w:rPr>
            </w:pPr>
            <w:r>
              <w:rPr>
                <w:rFonts w:ascii="Times New Roman" w:hAnsi="Times New Roman" w:eastAsia="黑体" w:cs="Times New Roman"/>
              </w:rPr>
              <w:t>卷、期</w:t>
            </w:r>
          </w:p>
          <w:p>
            <w:pPr>
              <w:jc w:val="center"/>
              <w:rPr>
                <w:rFonts w:ascii="Times New Roman" w:hAnsi="Times New Roman" w:eastAsia="黑体" w:cs="Times New Roman"/>
              </w:rPr>
            </w:pPr>
            <w:r>
              <w:rPr>
                <w:rFonts w:ascii="Times New Roman" w:hAnsi="Times New Roman" w:eastAsia="黑体" w:cs="Times New Roman"/>
              </w:rPr>
              <w:t>（或章节）、页</w:t>
            </w:r>
          </w:p>
        </w:tc>
        <w:tc>
          <w:tcPr>
            <w:tcW w:w="897" w:type="dxa"/>
            <w:vAlign w:val="center"/>
          </w:tcPr>
          <w:p>
            <w:pPr>
              <w:jc w:val="center"/>
              <w:rPr>
                <w:rFonts w:ascii="Times New Roman" w:hAnsi="Times New Roman" w:eastAsia="黑体" w:cs="Times New Roman"/>
              </w:rPr>
            </w:pPr>
            <w:r>
              <w:rPr>
                <w:rFonts w:ascii="Times New Roman" w:hAnsi="Times New Roman" w:eastAsia="黑体" w:cs="Times New Roman"/>
              </w:rPr>
              <w:t>类型</w:t>
            </w:r>
          </w:p>
        </w:tc>
        <w:tc>
          <w:tcPr>
            <w:tcW w:w="1022" w:type="dxa"/>
            <w:vAlign w:val="center"/>
          </w:tcPr>
          <w:p>
            <w:pPr>
              <w:tabs>
                <w:tab w:val="left" w:pos="492"/>
              </w:tabs>
              <w:jc w:val="center"/>
              <w:rPr>
                <w:rFonts w:ascii="Times New Roman" w:hAnsi="Times New Roman" w:eastAsia="黑体" w:cs="Times New Roman"/>
              </w:rPr>
            </w:pPr>
            <w:r>
              <w:rPr>
                <w:rFonts w:ascii="Times New Roman" w:hAnsi="Times New Roman" w:eastAsia="黑体" w:cs="Times New Roman"/>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Testin was regulated by circRNA3175-miR182 and inhibited endometrial epithelial cell apoptosis in pre-receptive endometrium of dairy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2018,卷:233，期:10， 页: 6965-6974，DOI: 10.1002/jcp.26614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miR-26a promoted endometrial epithelium cells (EECs) proliferation and induced stromal cells (ESCs) apoptosis via the PTEN-PI3K/AKT pathway in dairy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 233  期: 6  页: 4688-4706，DOI: 10.1002/jcp.26252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Circ-8073 regulates CEP55 by sponging miR-449a to promote caprine endometrial epithelial cells proliferation via the PI3K/AKT/mTOR pathway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BIOCHIMICA ET BIOPHYSICA ACTA-MOLECULAR CELL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 1865，期: 8，页: 1130-1147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Regulation and function of runt-related transcription factors (RUNX1 and RUNX2) in goat granulosa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STEROID BIOCHEMISTRY AND MOLECULAR 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181  页: 98-108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significance of the diversity and composition of the cecal microbiota of the Tibetan swine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ANNALS OF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68  期: 4  页: 185-194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Genome-wide differences in DNA methylation changes in caprine ovaries between oestrous and dioestrous phases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曹斌云</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Journal of Animal Science and 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9:85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Chi-miR-3031 regulates beta-casein via the PI3K/AKT-mTOR signaling pathway in goat mammary epithelial cells (GMECs)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安小鹏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VETERINARY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14 页： 369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Supplemented Organic and Inorganic Selenium Affects Milk Performance and Selenium Concentration in Milk and Tissues in the Guanzhong Dairy Goat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宋宇轩</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BIOLOGICAL TRACE ELEMENT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183  期: 2  页: 254-260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CircRNA-9119 regulates the expression of prostaglandin-endoperoxide synthase 2 (PTGS2) by sponging miR-26a in the endometrial epithelial cells of dairy goat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宋宇轩</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REPRODUCTION FERTILITY AND DEVELOPMENT</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30，期: 12，页: 1759-1769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Association between the expression of miR-26 and goat milk fatty acids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Reproduction in Domestic Animals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53(6):1478-1482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MiR-183 regulates milk fat metabolism via MST1 in goat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646:12-19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Mechanism of prolactin inhibition of miR-135b via methylation in goat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233(1):651-662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CRISPR/Cas9-mediated Stearoyl-CoA Desaturase 1 (SCD1) Deficiency Affects Fatty Acid Metabolism inGoat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66(38):10041-10052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Rapid communication: lipid metabolic gene expression and triacylglycerol accumulation in goatmammary epithelial cells are decreased by inhibition of SREBP-1</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Animal Science, 2018, 96(6):2399-2407</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96(6):2399-2407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Acyl-CoA synthetase short-chain family member 2 (ACSS2) is regulated by SREBP-1 and plays a role infatty acid synthesis in caprine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 2018, 233:1005-1016</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233:1005-1016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RNA sequencing and differential expression reveals the effects of serial oestrus synchronisation onovarian genes in dairy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Reproduction Fertility and Development</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30(12):1622-1633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Akt Serine/Threonine Kinase 1 Regulates de Novo Fatty Acid Synthesis through the Mammalian Target of Rapamycin/Sterol Regulatory Element Binding Protein 1 Axis in Dairy Goat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史怀平，罗军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66(5):1197-1205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trans-10,cis-12 conjugated linoleic acid alters lipid metabolism of goat mammary epithelial cells byregulation of de novo synthesis and the AMPK signaling pathway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史怀平，罗军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Dairy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101(6), 5571-5581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Trans10, cis12 conjugated linoleic acid increases triacylglycerol accumulation in goat mammaryepithelial cells in vitro</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史怀平，罗军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89(2):432-440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lactoferrin content variation and its related factors in milk of Xinong Saanen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史怀平</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Applied Animal Research</w:t>
            </w:r>
          </w:p>
        </w:tc>
        <w:tc>
          <w:tcPr>
            <w:tcW w:w="13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r>
              <w:rPr>
                <w:rFonts w:hint="eastAsia" w:ascii="Times New Roman" w:hAnsi="Times New Roman" w:cs="Times New Roman"/>
                <w:kern w:val="0"/>
                <w:sz w:val="18"/>
                <w:szCs w:val="18"/>
              </w:rPr>
              <w:t>2018,,23(3):359-64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Dietary vitamin E improves meat quality and antioxidant capacity in broilers by upregulating the expression of antioxidant enzyme genes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刘福柱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Journal of Applied Animal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46(1): 397-401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Vitamin E and vitamin C supplementation improves antioxidant status and immune function in oxidative-stressed breeder roosters by up-regulating expression of GSH-Px gene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刘福柱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Poultry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97(4):1238–1244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influence of retinoic acid-induced differentiation on the radiation response of male germline stem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Geert Hamer</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DNA Repair. 2018 Oct; 70: 55-66.</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Oct; 70: 55-66.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 of Supplementation with Two Combinations of Alternative to Antimicrobials by Stages on Cecal Fermentation in Rabbits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徐秀容</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Czech Journal of Animal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63 (10): 419–427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DOE-LITTER SEPARATION ON INTESTINAL BACTERIA, IMMUNE RESPONSE AND MORPHOLOGY OF SUCKLING RABBITS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徐秀容</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World Rabbit Sci</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26（1）: 71-79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Detection of 19-bp insertion/deletion (indel) within PLAG1 gene and its effect on growth traits in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黄永震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2018，675:144-149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DNA methylation status of CRABP2 Promoter down-regulates its expression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黄永震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647 (2018-1-2) 101–106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Associations of GBP2 gene copy number variations with growth traits and transcriptional expression in Chinese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黄永震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2018-3-20, 647 (2018) 101–106.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Oligomeric Proanthocyanidins on Quality of Boar Semen During Liquid Preservation at 17°C</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胡建宏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 Reprod Sci</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Nov;198:47-56.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Lycopene and alpha-lipoic acid improve semen antioxidant enzymes activity and cashmere goat sperm function after cryopreservation.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胡建宏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Cryobiology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Oct;84:27-32.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five cryoprotectants on proliferation and differentiation-related gene expression of frozen-thawed bovine calf testicular tissue.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胡建宏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 Domest Anim</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Oct;53(5):1211-1218.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Exploring boar sperm sialylation during apacitation using boronic acid-functionalized beads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董武子</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Reproduction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155,25–36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Iridoviral infection can be reduced by UCHL1-loaded exosomes from the testis of Chinese giant salamanders (Andrias davidianus)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董武子</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Veterinary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224:50–57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Influence of outer membrane vesicles ofProteus mirabilisisolated from boar semen on sperm function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董武子</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Veterinary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224:34–42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Bacteria in Abnormal Eggs of Chinese Giant Salamanders (Andrias davidianus) May Derive from Gut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董武子</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Zoologic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Fermented corn-soybean meal elevated IGF1 levels in grower-finisher pigs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李晓</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 Anim Sci</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Dec 3;96(12):5144-5151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Intestinal toxicity of deoxynivalenol is limited by supplementation with Lactobacillus plantarum JM113 and consequentially altered gut microbiota in broiler chickens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杨欣</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Animal Science and 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2018,9:74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Geometric Morphometric Analysis of the Morphological Variation among Three Lenoks of Genus Brachymystax in China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熊冬梅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Pakistan Journal of Zoology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2018年，50(3), pp 885-895,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39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5'-AMP-Activated Protein Kinase Regulates Goat Sperm Functions via Energy Metabolism In Vitro</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曾文先、罗军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CELLULAR PHYSIOLOGY AND BIOCHEMISTRY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出版年: 2018 卷:47 期:1  6页:2420-2431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Melatonin protects mouse spermatogonial stem cells against hexavalent chromium-induced apoptosis and epigenetic histone modification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曾文先</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TOXICOLOGY AND APPLIED PHARMACOLOGY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出版年:2018 卷:340 期:1 页:30-38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Phospholipase D Family Member 6 Is a Surface Marker for Enrichment of Undifferentiated Spermatogonia in Prepubertal Boars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曾文先</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STEM CELLS AND DEVELOPMENT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出版年:2018 卷: 27  期: 1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Useful Bicistronic Reporter System for Studying Poly(A) Site-Defining cis Elements and Regulation of Alternative Polyadenylation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曾文先、李显春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出版年:JAN 2018 卷:19  期:1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Long non-coding RNA profiling reveals an abundant MDNCR that promotes differentiation of myoblasts via sponging miR-133a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Molecular Therapy- Nucleic Acids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12: 610-625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circFGFR4 Promotes Differentiation of Myoblastsvia Binding miR-107 to Relieve Its Inhibition of Wnt3a.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Molecular Therapy-Nucleic Acids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11: 272-283.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CircFUT10 reduces proliferation and facilitates differentiation of myoblasts by sponging miR-133a.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233:4643–4651.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Over-expression of DEC1 inhibits myogenic differentiation by modulating MyoG activity in bovine satellite cell.</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Journal of Cellular Physiology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233(12):9365-9374.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Differential expression of FOXO1 during development and myoblast differentiation of Qinchuan cattle and its association analysis with growth traits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SCIENCE CHINA Life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61(7): 826-835.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 novel PAX7 10-bp indel variant modulates promoter activity, gene expression and contributes to different phenotypes of Chinese cattle. Scientific Reports, 2018, 8:1724.</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Scientific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8:1724.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49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Linc-smad7promotes myoblast differentiation and muscle regeneration via sponging miR-125b.</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Epigenetics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2018，13（6）：591-604.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Global transcriptome analysis during adipogenic differentiation and involvement of transthyretin gene in adipogenesis in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9 : 463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The role of autophagy during murine primordial follicle assembly.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AGING-US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10（2）: 197-211.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Integrating CNVs into meta-QTL identified GBP4 as positional candidate for adult cattle stature. Functional &amp; Integrative Genomics, 2018, 1-9.</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Functional &amp; Integrative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FosB regulates rosiglitazone-induced milk fat synthesis and cell survival</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233(12): 9284-9298.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Determination of ruminal dry matter and crude protein degradability and degradation kinetics of several concentrate feed ingredients in cashmere goat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杨雨鑫</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Applied Animal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46(1), 134-140.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Variation in proteomics and metabolomics of chicken hepatocytes exposed to medium with or without folic acid</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Celluar Biochemistry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119(7):6113-6124.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Age-Related Changes on CD40 Promotor Methylation and Immune Gene Expressions in Thymus of Chicken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2018,DOI: 10.3389/fimmu.2018.02731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Simultaneous supplementation of Bacillus Subtilis and Antibiotic Growth Promoters by Stages Improved Intestinal Function of Pullets by Altering Gut Microbiota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2018,DOI: 10.3389/fmicb.2018.02328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Systematic analysis of the regulatory roles of microRNAs in postnatal maturation and metergasis of liver of breeder cocks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Scientific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2018,DOI: 10.1038/s41598-017-18674-3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Hepatic metabolomic profiling changes along with postnatal liver maturation in breeder roosters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Biology Open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2018,7(1):28944.DOI:10.1242/bio.028944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and characterisation of microRNAs and Piwi-interacting RNAs in cockerels’ spermatozoa by Solexa sequencing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British Poultry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59(4):371-380.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and characterization of long noncoding RNAs and mRNAs expression profiles related to postnatal liver maturation of breeder roosters using Ribo-zero RNA sequencing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19(1):498. DOI: 10.1186/s12864-018-4891-7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Transgenerational effects of paternal dietary Astragalus polysaccharides on spleen immunity of broilers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Biological Macromolecules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Aug;115:90-97.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Transgenerational endotoxin tolerance-like effect caused by paternal dietary Astragalus polysaccharides in broilers' jejunum</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杨小军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Biological Macromolecules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111:769-779.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Low dose of coated zinc oxide is as effective as pharmacological zinc oxide in promoting growth performance, reducing fecal scores, and improving nutrient digestibility and intestinal morphology in weaned pigs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 Ho Kim</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Feed Science and 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2018，卷：245，页：117-125；文献类型：Article</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a blend of organic acids and medium-chain fatty acids with and without Enterococcus faecium on growth performance, nutrient digestibility, blood parameters, and meat quality in finishing pigs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 Ho Kim</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Canadian Journal of Animal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2018，卷：98，页：852-859，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dried citrus pulp and fermented medicinal plants on growth performance, nutrient digestibility, blood characteristics, and meat quality in growing–finishing pigs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 Ho Kim</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Canadian Journal of Animal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2018，卷：98，页：875-883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Characterization of the Endangered Brachymystax lenok tsinlingensis(Salmonidae) Population from Tsinling Mountains in China using Microsatellite Markers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熊冬梅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Pakistan J. Zool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2018.50(2):734-749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Overexpression of the Rybp Gene Inhibits Differentiation of Bovine Myoblasts into Myotubes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王洪宝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19(7): 2082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Hepatic NPC1L1 promotes hyperlipidemia in LDL receptor deficient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李青旺</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Biochemical and Biophysical Research Communications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vol499, No. 3, pp.626-633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 of FH535 on invitro maturation of porcine oocytes by inhibiting WNT signaling pathway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李青旺</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Science Journa</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2018,vol.89, No. 4, pp.631-639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Combined effect of apigenin and ferulic acid on frozen-thawed boar sperm quality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李青旺</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2018,vol.89,No. 7, pp.956-965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dietary leucine and phenylalanine on pancreas development, enzyme activity, and relative gene expression in milk-fed Holstein dairy calves.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DAIRY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101 期: 5   页: 4235-4244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Regulation of pancreas development and enzymatic gene expression by duodenal infusion of leucine and phenylalanine in dairy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LIVESTOCK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216 期1 页: 9-15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Folate promotes S</w:t>
            </w:r>
            <w:r>
              <w:rPr>
                <w:rFonts w:ascii="Times New Roman" w:hAnsi="Times New Roman" w:cs="Times New Roman"/>
                <w:kern w:val="0"/>
                <w:sz w:val="18"/>
                <w:szCs w:val="18"/>
              </w:rPr>
              <w:noBreakHyphen/>
            </w:r>
            <w:r>
              <w:rPr>
                <w:rFonts w:ascii="Times New Roman" w:hAnsi="Times New Roman" w:cs="Times New Roman"/>
                <w:kern w:val="0"/>
                <w:sz w:val="18"/>
                <w:szCs w:val="18"/>
              </w:rPr>
              <w:t>adenosyl methionine reactions and the microbial methylation cycle and boosts ruminants production and reproduction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曹阳春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AMB EXPRESS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8、期65、页: 1-10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Post-ruminal effects of rumen-protected methionine supplementation with low protein diet using long-term simulation and in vitro digestibility technique.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 曹阳春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AMB EXPRESS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8、期36、页: 1-8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Critical Analysis of Excessive Utilization of Crude Protein in Ruminants Ration: Impact on Environmental Ecosystem and Opportunities of Supplementation of Limiting Amino Acids-A Review</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姚军虎/曹阳春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ENVIRONMENTAL SCIENCE AND POLLUTION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2018、卷: 25  期: 1   页: 181-190  </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biotin and nicotinamide supplementation on glucose and lipid metabolism and milk production of transition dairy cows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姚军虎/曹阳春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FEED SCIENCE AND 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237 期1 页: 106-117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MicroRNA-106a-5p Inhibited C2C12 Myogenesis via Targeting PIK3R1 and Modulating the PI3K/AKT Signaling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孙世铎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Genes (Basel)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Jul 2;9(7),pii: E333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Functional characterization of the clade B serine protease inhibitor SerpinB3 in the pacific white shrimp Litopenaeus vannamei</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Developmental and Comparative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85 (2018) 10e17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Fatty acid elongase7 is regulated via SP1 and is involved in lipid accumulation in bovine mammary epithelial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 Cell Physiol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2018;233:4715–4725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variants of fatty acid elongase 6 in Chinese Holstein cow</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670 (2018) 123–129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and functional characterization of nucleoside diphosphate kinase (nm23) gene in oriental river prawn Macrobrachium nipponense during ovarian development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2018;49:1219–1231.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Selection response and estimation of the genetic parameters for multidimensional measured breast meat yield related traits in a long-term breeding Pekin duck line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Asian-Australas J Anim Sci</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2018，31:1575-1580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Steroidal and phenolic endocrine disrupting chemicals (EDCs) in surface water of Bahe River, China: Distribution, bioaccumulation, risk assessment and estrogenic effect on Hemiculter leucisculus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王在照</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Environmental pollution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Environmental pollution, 2018,243,103-114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Occurrence and distribution of antibiotics and antibiotic resistance genes in Ba River, China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王在照</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Science of the total environment</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Science of the total environment, 2018,642, 1136-1144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Adult exposure to bisphenol A in rare minnow Gobiocypris rarus reduces sperm quality with disruption of testicular aquaporins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王在照</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Chemosphere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2018,193, 365-375.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Bisphenol A regulates rare minnow testicular vitellogenin expression via reducing its promoter Er recruitment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王在照</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Ecotoxicology and environmental safety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2018,147,423-429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Bisphenol A induced abnormal DNA methylation of ovarian steroidogenic genes in rare minnow Gobiocypris rarus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王在照</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General and comparative endocrinology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2018,269,156-165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Maternal Bisphenol A exposure impaired endochondral ossification in craniofacial cartilage of rare minnow (Gobiocypris rarus) offspring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吴朗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Ecotoxicology and environmental safety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2018；163, 514-520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Vitamin E and vitamin C supplementation improves antioxidant status and immune function in oxidative-stressed breeder roosters by up-regulating expression of GSH-Px gene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刘福柱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Poultry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2018,97（4）:1238-1244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methionine hydroxyl analog chelated zinc on laying performance, eggshell quality, eggshell mineral deposition, and activities of Zn-containing enzymes in aged laying hens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高玉鹏</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Poultry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2018,97(10)：3587-3593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inconsistent regulation of HOXC13 on different keratins and the regulation mechanism on HOXC13 in cashsmere goat (Capra hircus）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王昕</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19(1):630.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Transciptome sequencing to detect the potential role of long non-coding RNAs in bovine mammary gland during the dry nad lactation period</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王昕</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19(1):605.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Melatonin promotes cashmere goat (Capra hircus) secondary hair follicle growth</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王昕</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Cell cycle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 17(10):1255-1267.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 cloning and seamless site-directed mutagenesis using single-strand annealing(SSA)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王昕</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Appl Microbiol Biotechnol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2018.102(23):10119-10126.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Dynamics of methanogenesis, ruminal fermentation, and alfalfa degradation during adaptation to monensin supplementation in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Dairy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101(2): 1048-1059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Bioactive polysaccharides and oligosaccharides as possible feed additives to manipulate rumen fermentation in Rusitec fermenters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Biological Macromolecules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109: 1088-1094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fumaric acid supplementation on methane production and rumen fermentation in goats fed diets varying in forage and concentrate particle size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Journal of Animal Science and 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9:21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Duodenal Infusions of Isoleucine Influence Pancreatic Exocrine Function in Dairy Heifers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Archives of Animal Nutrition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72 (1): 31-41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Phenylalanine regulates initiation of digestive enzyme mRNA translation in pancreatic acinar cells and tissue segments in dairy calves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Bioscience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2018，38，DOI: 10.1042/BSR20171189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Leucine affectes α-amylase synthesis through PI3K/Akt-mTOR signaling pathways in pancreatic acinar cells of dairy calves.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66(20): 5149-5156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Metabolomics for the effect of biotin and nicotinamide on transition dairy cows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姚军虎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66, 5723-5732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miR-423-5p inhibits myoblast proliferation and differentiation by targeting Sufu</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史新娥</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 Cell Biochem</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2018;119:7610–7620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a functional insertion sequence ISSau2 from Staphylococcus aureus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MOBILE DNA</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Lactobacillus plantarum Restores Intestinal Permeability Disrupted by Salmonella Infection in Newly-hatched Chicks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SCIENTIFIC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8（1）：2229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the resistance class 1 integrons in Staphylococcus aureus isolates from milk of lactating dairy cattle in Northwestern China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VETERINARY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14（1）：59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Bacillus licheniformis CK1 alleviates the toxic effects of zearalenone in feed on weaned female Tibetan piglets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ANIMAL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96（10）：4471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Functional Analyses of Cassette Chromosome Recombinase C2 (CcrC2) and Its Use in Eliminating Methicillin Resistance by Combining CRISPR-Cas9</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ACS SYNTHETIC 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7（11）：2590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Arginine Catabolic Mobile Elements in Livestock-Associated Methicillin-Resistant Staphylococcal Isolates From Bovine Mastitic Milk in China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薛虎平</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1.090972222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Population structure and ancestry of Qinchuan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2018,49（3）:246-248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Whole-genome resequencing reveals world-wide ancestry and adaptive introgression events of domesticated cattle in East Asia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Nature Communications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9: 23-37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PRLH and SOD1 gene variations associated with heat tolerance in Chinese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49（5）: 447-451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and diversity of Y chromosome haplotypes in Qinghai yak populations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2018,49（6）: 618-622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EGLN1 gene variation in Chinese native cattle and yaks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2018,49（6）: 655-656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Y-chromosome haplotype analysis revealing multiple paternal origins in swamp buffaloes of China and Southeast Asia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雷初朝</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Animal Breeding and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2018,135（6）: 442-449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and characterization of circular RNAs in Qinchuan cattle testis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党瑞华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 Soc Open Sci</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Jul 25;5(7):180413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Eight Y chromosome genes show copy number variations in horses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党瑞华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ARCHIVES ANIMAL BREEDING</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61  期: 3  页: 263-270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Polymorphisms in MX2 Gene Are Related with SCS in Chinese Dairy Cows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党瑞华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2018，卷: 29  期: 2  页: 81-89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dietary lipid source on fatty acid composition, expression of genes involved in lipid metabolism and antioxidant status of grass carp (Ctenopharyngodon idellus)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周继术</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 Nutrition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2018、24、1456–1465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 of dietary bile acids on growth, body composition, lipid metabolism and microbiota in grass carp (Ctenopharyngodon idella)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 Nutrition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2018，24卷2期：802-813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 of replacing dietary fish meal with black soldier fly larvae meal on growth and fatty acid composition of Jian carp (Cyprinus carpio var. Jian)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 Nutrition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2018，24卷1期：424-433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Chlorpyrifos Induction of Testicular-Cell Apoptosis through Generation of Reactive Oxygen Species and Phosphorylation of AMPK</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2018、66、47、12455-12470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Insertion/Deletion Within the KDM6A Gene Is Significantly Associated With Litter Size in Goat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  、 91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Pig StAR: mRNA expression and alternative splicing in testis and Leydig cells, and association analyses with testicular morphology traits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THERIOGENOLOGY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118、 46-56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Pig KDM5B: mRNA expression profiles of different tissues and testicular cells and association analyses with testicular morphology traits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650、27-33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Goat CTNNB1: mRNA expression profile of alternative splicing in testis and association analysis with litter size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679、297-304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Novel 17-bp Deletion in KDM1B Gene is Significantly Associated with Testis Weight in Male Piglet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潘传英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BIOTECHNOLOGY8</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29、4  、252-258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Comparative transcriptome profiling of mRNA and lncRNA related to tail adipose tissues of sheep.</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9  、 365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Goat Boule: Isoforms identification, mRNA expression in testis and functional study and promoter methylation profiles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THERIOGENOLOGY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116、 53-63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variants in fat and short tailed sheep from high-throughput RNA-sequencing data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49  、5 、 483-487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Detection of insertion/deletions (INDEL) of the ATBF1 gene and their effects on growth-related traits in three indigenous goat breeds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ARCHIVES ANIMAL BREEDING</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61  、3 、 311-319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 novel indel within goat casein alpha S1 gene is significantly associated with litter size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671、161-169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Bovine pituitary homeobox 2 (PITX2): mRNA expression profiles of different alternatively spliced variants and association analyses with growth traits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669  、1-7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Nucleotide variants in prion-related protein (testis-specific) gene (PRNT) and effects on Chinese and Mongolian sheep phenotypes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PRION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 、3-4、185-196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effects of PRNP gene insertion/deletion (indel) on phenotypic traits in sheep</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PRION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12  、 1  、 42-53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Detection of insertions/deletions within SIRT1, SIRT2 and SIRT3 genes and their associations with body measurement traits in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蓝贤勇</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BIOCHEMICAL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56  、6  、663-676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Serotonin induces parathyroid hormone-related protein in goat mammary gland</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郑惠玲</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ANIMAL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96   期: 3   页: 1010-1016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Melatonin alleviates adipose inflammation through elevating -ketoglutarate and diverting adipose-derived exosomes to macrophages in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pineal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2018,64,(1), e12455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139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Obesity linking to hepatocellular carcinoma: A global view</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Biochim Biophys Acta Rev Cancer</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2018,1869(2):97-102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Phytochemistry and beneficial impacts of cinnamon (Cinnamomum zeylanicum) as a dietary supplement in poultry diets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WORLDS POULTRY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2018,74(2):331-345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Influence of Graded Levels of l-Theanine Dietary Supplementation on Growth Performance, Carcass Traits, Meat Quality, Organs Histomorphometry, Blood Chemistry and Immune Response of Broiler Chickens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2018，19(2):462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Yucca schidigera can mitigate ammonia emissions from manure and promote poultry health and production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Environmental science and pollution research international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2018,25(35):35027-35033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use of chicoric acid from Echinacea purpurea as a feed additive in poultry nutrition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WORLDS POULTRY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2018,74(1)69-77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potentially beneficial effects of supplementation with hesperidin in poultry diets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WORLDS POULTRY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2018,74(2):265-276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Health benefits and potential applications of anthocyanins in poultry feed industry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WORLDS POULTRY SCIENCE JOURNAL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2018,74(2):251-263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Foxc2 coordinates inflammation and browning of white adipose by leptin-STAT3-PRDM16 signal in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obesity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2018,42(2):252-259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Homeobox a5 Promotes White Adipose Tissue Browning Through Inhibition of the Tenascin C/Toll-Like Receptor 4/Nuclear Factor Kappa B Inflammatory Signaling in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2018,9,647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Hoxa5 Promotes Adipose Differentiation via Increasing DNA Methylation Level and Inhibiting PKA/HSL Signal Pathway in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CELLULAR PHYSIOLOGY AND BIOCHEMISTRY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2018,45(3):1023-1033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149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miR-103/107 promote ER stress-mediated apoptosis via targeting the Wnt3a/β-catenin/ATF6 pathway in preadipocytes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LIPID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2018,59(5):843-853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Chicoric Acid Improves Heart and Blood Responses to Hypobaric Hypoxia in Tibetan Yaks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孙超</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AMERICAN JOURNAL OF CHINESE MEDICINE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2018,46(2):339-355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Z-band and M-band titin splicing and regulation by RNA binding motif 20 in striated muscles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郭玮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 Cell Biochem</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Dec;119(12):9986-9996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TTN Novex Splicing Variants across Species and the Role of RBM20 in Novex-Specific Exon Splicing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郭玮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Genes (Basel)</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Feb 13;9(2).pii: E86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Biocompatibility assessment of single-walled carbon nanotubes using Saccharomyces cerevisiae as a model organism</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朱斌，王高学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Nanobiotechnology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16: 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Synthesis and in vitro activities evaluation of arctigenin derivatives against spring viraemia of carp virus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82: 17-26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 new coumarin derivative plays a role in rhabdoviral clearance by interfering glycoprotein function during the early stage of viral infection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Cellular signalling</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51: 199-210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Magnolol protects Ctenopharyngodon idella kidney cells from apoptosis induced by grass carp reovirus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74: 426-435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Highly efficient inhibition of spring viraemia of carp virus replication in vitro mediated by bavachin, a major constituent of psoralea corlifonia Lynn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Virus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255: 24-35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Display of GCRV vp7 protein on the surface of Escherichia coli and its immunoprotective effects in grass carp (Ctenopharyngodon idella)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王高学，凌飞</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72: 199-209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159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Synthesis and biological evaluation of coumarin derivatives containing imidazole skeleton as potential antibacterial agents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European Journal of Medicinal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143: 958-969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Targeting Heat Shock Protein 70 as an antiviral strategy against grass carp reovirus infection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朱斌，王高学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Virus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247: 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Synthesis and antiviral activity of a new coumarin derivative against spring viraemia of carp virus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朱斌，王高学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81: 57-66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Arctigenin: An emerging candidate against infections of Gyrodactylus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凌飞，王高学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495: 983-991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moroxydine hydrochloride and ribavirin on the cellular growth and immune responses by inhibition of GCRV proliferation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凌飞，王高学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Research in Veterinary Science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117: 37-44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developmental toxicity, bioaccumulation and distribution of oxidized single walled carbon nanotubes in Artemia salina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Toxicology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79:256-264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Enhanced protective immunity against spring viremia of carp virus infection can be induced by recombinant subunit vaccine conjugated to single-walled carbon nanotubes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Vaccine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36(42): 6334-6344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Immune response and protective effect against spring viremia of carp virus induced by intramuscular vaccination with a SWCNTs-DNA vaccine encoding matrix protein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王高学，朱斌</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79: 256-264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Antiparasitic efficacy and safety assessment of magnolol against Ichthyophthirius multifiliis in goldfish</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凌飞</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486: 9-17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Probiotic potential of Bacillus velezensis JW: Antimicrobial activity against fish pathogenic bacteria and immune enhancement effects on Carassius auratus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王高学</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Fish &amp; Shellfish immunology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2018,78:322-330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169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MiR-27a-5p Increases Steer Fat Deposition Partly by Targeting Calcium-sensing Receptor (CASR)</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 Rep</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2018,14;8(1):3012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Efficient SSA-mediated precise genome editing using CRISPR/Cas9</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张智英</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FEBS J</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285(18):3362-75.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Comparison of microRNA Profiles between Bovine Mammary Glands Infected with Staphylococcus aureus and Escherichia coli</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Biological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2018,14(1),87-99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Myocyte enhancer factor 2A promotes proliferation and its inhibition attenuates myogenic differentiation via myozenin 2 in bovine skeletal muscle myoblast</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PLoS One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2018,13(4),e196255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Expression profiling of peripheral blood miRNA using RNAseq technology in dairy cows with Escherichia coli-induced mastitis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Scientific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2018,8(1)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Coordinate regulation by transcription factors and DNA methylation in the core promoter region of SIRT6 in bovine 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Archives of Biochemistry and Biophysics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2018,659,1-12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the promoter region of bovine SIX4 : Roles of E-box and MyoD in the regulation of basal transcription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Biochemical and Biophysical Research Communications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2018,496(1),44-50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Transcriptional Regulation by CpG Sites Methylation in the Core Promoter Region of the Bovine SIX1 Gene: Roles of Histone H4 and E2F2</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2018,19(1),213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of Potential Key Genes Associated with Adipogenesis through Integrated Analysis of Five Mouse Transcriptome Datasets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2018,19(11),3557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Variants in STAT3 Promoter Regions and Their Application in Molecular Breeding for Body Size Traits in Qinchuan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2018,19(4),1035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Expression Pattern of PLIN2 in Differentiated Adipocytes from Qinchuan Cattle Analysis of Its Protein Structure and Interaction with CGI-58</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Sciences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2018,19(5),1336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Halal slaughtering, welfare, and empathy in farm animals: a review</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Tropical Animal Health and Production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2018,50(8),1733-1738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Bioinformatics Analysis and Competitive Regulation by Transcription Factors of SIRT5 at the Core Promoter Region Using Bovine 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DNA and Cell 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Tissue Expression Analysis and Characterization of Smad3 Promoter in Bovine Myoblasts and Preadipocytes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DNA and Cell 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2018,37(6),551-559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Association between FASN gene polymorphisms ultrasound carcass traits and intramuscular fat in Qinchuan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GENE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2018,645,55-59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Polymorphism in promoter of SIX4 gene shows association with its transcription and body measurement traits in Qinchuan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Gene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2018,656,9-16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KLF15 promotes transcription of KLF3 gene in bovine 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2018,659,77-83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variants in the promoter region of the KLF3 gene associated with fat deposition in Qinchuan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2018,672，50-55</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Bta-miR-130a/b regulates preadipocyte differentiation by targeting PPARG and CYP2U1 in beef cattle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and Cellular Probes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2018,42,10-17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Genetic Architecture and Selection of Chinese Cattle Revealed by Whole Genome Resequencing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昝林森</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Biology and Evolution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2018,35(3),688-699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189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Comparative analysis of long noncoding RNAs expressed during intramuscular adipocytes adipogenesis in fat-type and lean-type Pigs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庞卫军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Agricultural and Food Chemistry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66(45): 12122–12130.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Adiponectin AS lncRNA inhibits adipogenesis by transferring from nucleus to cytoplasm and attenuating Adiponectin mRNA translation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庞卫军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BBA-Molecular and Cell Biology of Lipids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1863(4): 420–432.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Long noncoding RNA: multiple players in gene expression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庞卫军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BMB Reports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51(6): 281–290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Y-chromosome polymorphisms of the domestic Bactrian camel in China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任战军</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ournal of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2018.97(1): 1-8.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Zearalenone Exposure Enhanced the Expression of Tumorigenesis Genes in Donkey Granulosa Cells via the PTEN/PI3K/AKT Signaling Pathway</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Lentivirus-mediated CTRP6 silencing ameliorates diet-induced obesity in mice</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EXPERIMENTAL CELL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367  期: 1  页: 15-23</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Knockdown of ubiquitin D inhibits adipogenesis during the differentiation of porcine intramuscular and subcutaneous preadipocytes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  于太永</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CELL PROLIFERATION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51  期: 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 novel brown adipocyte-enriched long non-coding RNA that is required for brown adipocyte differentiation and sufficient to drive thermogenic gene program in white adipocytes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 匡世焕</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BIOCHIMICA ET BIOPHYSICA ACTA-MOLECULAR AND CELL BIOLOGY OF LIPIDS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1863  期: 4  页: 409-419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Evodiamine promotes differentiation and inhibits proliferation of C2C12 muscle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INTERNATIONAL JOURNAL OF MOLECULAR MEDICINE</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41  期: 3  页: 1627-1634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Lithium chloride inhibits StAR and progesterone production through GSK-3 beta and ERK1/2 signaling pathways in human granulosa-lutein cells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杨公社Leung, Peter C. K.</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AND CELLULAR ENDOCRINOLOGY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461  期: C  页: 89-99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199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MAT2A promotes porcine adipogenesis by mediating H3K27me3 at Wnt10b locus and repressing Wnt/beta-catenin signaling</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杨公社</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BIOCHIMICA ET BIOPHYSICA ACTA-MOLECULAR AND CELL BIOLOGY OF LIPIDS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 1863  期: 2  页: 132-142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Cytochrome P450 2A Clone, Expression Pattern, and Regulation by Different Lipid Sources in grass carp (Ctenopharyngodon idella)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Fish Physiol Biochem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2018,44(4):1019-1026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Influence of replacing fish meal with enzymatic hydrolysates of defatted silkworm pupa (Bombyx mori L.) on growth performance, body composition and non-specific immunity of juvenile mirror carp (Cyprinus carpio var. specularis)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Aquaculture Research</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2018,49:1480–1490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Docosahexaenoic acid induces PPAR gamma-dependent preadipocytes apoptosis in grass carp Ctenopharyngodon idella</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General and Comparative Endocrinology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2018(266):211-219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EPA plays multiple roles in regulating lipid accumulation of grass carp Ctenopharyngodon idella adipose tissue in vitro and in vivo</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Fish 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2018;93:290–301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Wnt/beta-catenin pathway contributes to the regulation of adipocyte development induced by docosahexaenoic acid in grass carp, Ctenopharyngodon idellus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COMPARATIVE BIOCHEMISTRY AND PHYSIOLOGY B-BIOCHEMISTRY &amp; MOLECULAR BIOLOGY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2018,216: 18-24</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205</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G0S2a1 (G0/G1 switch gene 2a1) is downregulated by TNF-alpha in grass carp (Ctenopharyngodon idellus) hepatocytes through PPAR alpha inhibition</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GENE  </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  641: 1-7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206</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The protein-sparing effect of α-lipoic acid in juvenile grass carp, Ctenopharyngodon idellus: Effects on lipolysis, fatty acid β-oxidation and protein synthesis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吉红</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British Journal of Nutrition</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120(9): 977-987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207</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Efficient generation of goats with defined point mutation (I397V) in GDF9 through CRISPR/Cas9</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陈玉林 马保华</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Reproduction, Fertility and Development</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30(2):307-312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208</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Effects of all-trans retinoic acid on goat dermal papilla cells cultured in vitro</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陈玉林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Electronic Journal of Biotechnology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 34 (2018) 43–50</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209</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Low incidence of SNVs and indels in trio genomes of Cas9-mediated multiplex edited sheep</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陈玉林 黄行许 姜雨</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2018，19:397</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210</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CRISPR/Cas9-mediated MSTN disruption and heritable mutagenesis in goats causes increased body mass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屈雷 陈玉林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Animal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2018,49(1):43-51</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211</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Comparative proteomic analyses using iTRAQ-labeling provides insights into fiber diversity in sheep and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王小龙</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Proteomics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172 (2018) 82–88</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212</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Trio-Based Deep Sequencing Reveals a Low Incidence of Off-Target Mutations in the Offspring of Genetically Edited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王小龙</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genetics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2018,9:449</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213</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Integrative analysis reveals ncRNAmediated molecular regulatory network driving secondary hair follicle regression in cashmere goats</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王小龙 陈玉林</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BMC Genomics</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2018，19:222</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214</w:t>
            </w:r>
          </w:p>
        </w:tc>
        <w:tc>
          <w:tcPr>
            <w:tcW w:w="29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Exploring the Spatial-Temporal Microbiota of Compound Stomachs in a Pre-weaned Goat Model</w:t>
            </w:r>
          </w:p>
        </w:tc>
        <w:tc>
          <w:tcPr>
            <w:tcW w:w="9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王小龙</w:t>
            </w:r>
          </w:p>
        </w:tc>
        <w:tc>
          <w:tcPr>
            <w:tcW w:w="1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Frontiers in Microbiology</w:t>
            </w:r>
          </w:p>
        </w:tc>
        <w:tc>
          <w:tcPr>
            <w:tcW w:w="130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2018， 9:1846</w:t>
            </w:r>
          </w:p>
        </w:tc>
        <w:tc>
          <w:tcPr>
            <w:tcW w:w="89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1"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215</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Consistent responses of surface- and subsurface soil fungal diversity to N enrichment are mediated differently by acidification and plant community in a semi-arid grassland</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陈文青</w:t>
            </w:r>
          </w:p>
        </w:tc>
        <w:tc>
          <w:tcPr>
            <w:tcW w:w="1535"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20"/>
                <w:szCs w:val="20"/>
              </w:rPr>
              <w:t>Soil Biology&amp;Biochemistry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127:110-119</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216</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Plant diversity is coupled with beta not alpha diversity of soil fungal communities following N enrichment in a semi-arid grassland</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陈文青</w:t>
            </w:r>
          </w:p>
        </w:tc>
        <w:tc>
          <w:tcPr>
            <w:tcW w:w="1535"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Soil Biology&amp;Biochemistry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116:388-398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Sodium-Related Adaptations to Drought: New Insights From the Xerophyte Plant Zygophyllum xanthoxylum</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席杰军</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Frontiers In  Plant Science</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卷: 9,文献号: 1678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Overexpression of an alfalfa (</w:t>
            </w:r>
            <w:r>
              <w:rPr>
                <w:rFonts w:ascii="Times New Roman" w:hAnsi="Times New Roman" w:eastAsia="仿宋" w:cs="Times New Roman"/>
                <w:i/>
                <w:kern w:val="0"/>
                <w:sz w:val="20"/>
                <w:szCs w:val="20"/>
              </w:rPr>
              <w:t>Medicago sativa</w:t>
            </w:r>
            <w:r>
              <w:rPr>
                <w:rFonts w:ascii="Times New Roman" w:hAnsi="Times New Roman" w:eastAsia="仿宋" w:cs="Times New Roman"/>
                <w:kern w:val="0"/>
                <w:sz w:val="20"/>
                <w:szCs w:val="20"/>
              </w:rPr>
              <w:t>) gene, MsDUF, negatively impacted seed germination and response to osmotic stress in transgenic tobacco</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王亚芳</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Plant Cell Tissue and  Organ Culture</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 xml:space="preserve"> 132:525-534</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219</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 xml:space="preserve">Transcriptomic analyses reveal genotype- and organ-specific molecular responses to cold stress in </w:t>
            </w:r>
            <w:r>
              <w:rPr>
                <w:rFonts w:ascii="Times New Roman" w:hAnsi="Times New Roman" w:eastAsia="仿宋" w:cs="Times New Roman"/>
                <w:i/>
                <w:kern w:val="0"/>
                <w:sz w:val="20"/>
                <w:szCs w:val="20"/>
              </w:rPr>
              <w:t>Elymus nutans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付娟娟</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Biologia Plantarum</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62 (4):671-683</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 xml:space="preserve"> A timesaving estimation of per-quadrat species number in grassland communities based on a Poisson-like model</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陈俊</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Ecological Research</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33(2):427-434</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Abscisic acid and brassinolide combined application synergistically enhances drought tolerance and photosynthesis of tall fescue under water stress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陈志飞 (学）</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Scientia Horticulturae</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228(26): 1-9</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Nitric oxide is involved in abscisic acid-induced photosynthesis and antioxidant system of tall fescue seedlings response to low-light stress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张旭虎 （学）</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Environmental and Experimental Botany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155: 226-238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The forms of nitrogen source influence the interaction between Elymus nutans Griseb. and arbuscular mycorrhizal fungi</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许岳飞</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South African Journal of Botany</w:t>
            </w:r>
          </w:p>
        </w:tc>
        <w:tc>
          <w:tcPr>
            <w:tcW w:w="1303" w:type="dxa"/>
            <w:vAlign w:val="center"/>
          </w:tcPr>
          <w:p>
            <w:pPr>
              <w:widowControl/>
              <w:ind w:firstLine="200" w:firstLineChars="100"/>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119: 37-44</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Identification of a novel 24 bp insertion–deletion (indel) of the androgen receptor gene and its association with growth traits in four indigenous cattle breeds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赵海东 （学）</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Archives Animal Breeding</w:t>
            </w:r>
          </w:p>
        </w:tc>
        <w:tc>
          <w:tcPr>
            <w:tcW w:w="1303" w:type="dxa"/>
            <w:vAlign w:val="center"/>
          </w:tcPr>
          <w:p>
            <w:pPr>
              <w:widowControl/>
              <w:ind w:firstLine="200" w:firstLineChars="100"/>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61(1):71-78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Immunoglobulin heavy chain variable region analysis in dairy goats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杜丽娟 （学）</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Immunobiology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223(11):599-607</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Two New Insertion/Deletion Variants of the PITX2 Gene and their Effects on Growth Traits in Sheep</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赵海东 （学）</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Animal Biotechnology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29(4):276-282</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Effects of water and exogenous Si on element concentrations and ecological stoichiometry of plantain (</w:t>
            </w:r>
            <w:r>
              <w:rPr>
                <w:rFonts w:ascii="Times New Roman" w:hAnsi="Times New Roman" w:eastAsia="仿宋" w:cs="Times New Roman"/>
                <w:i/>
                <w:kern w:val="0"/>
                <w:sz w:val="20"/>
                <w:szCs w:val="20"/>
              </w:rPr>
              <w:t xml:space="preserve">Plantago lanceolata </w:t>
            </w:r>
            <w:r>
              <w:rPr>
                <w:rFonts w:ascii="Times New Roman" w:hAnsi="Times New Roman" w:eastAsia="仿宋" w:cs="Times New Roman"/>
                <w:kern w:val="0"/>
                <w:sz w:val="20"/>
                <w:szCs w:val="20"/>
              </w:rPr>
              <w:t>L.).</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龙明秀</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Journal of Plant Nutrition</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eastAsia="仿宋" w:cs="Times New Roman"/>
                <w:kern w:val="0"/>
                <w:sz w:val="20"/>
                <w:szCs w:val="20"/>
              </w:rPr>
              <w:t>41(10):1263-1275</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国外刊物</w:t>
            </w:r>
          </w:p>
        </w:tc>
        <w:tc>
          <w:tcPr>
            <w:tcW w:w="1022" w:type="dxa"/>
          </w:tcPr>
          <w:p>
            <w:pPr>
              <w:jc w:val="center"/>
              <w:rPr>
                <w:rFonts w:ascii="Times New Roman" w:hAnsi="Times New Roman"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 reactive oxygen species activation mechanism contributes to Sophoridine-induced apoptosis in rat liver BRL-3A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邱明宁</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Ethnopharmacology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期：213页：376–383</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229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Melatonin Ameliorates Busulfan-Induced Spermatogonial Stem CellOxidative Apoptosis in Mouse Testes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李波</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Antioxidants &amp; Redox Signaling</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卷:28期:5页:385-400</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MiR-302 enhances the viability and stemness of male germline stem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朱海鲸</w:t>
            </w:r>
          </w:p>
        </w:tc>
        <w:tc>
          <w:tcPr>
            <w:tcW w:w="1535" w:type="dxa"/>
            <w:vAlign w:val="center"/>
          </w:tcPr>
          <w:p>
            <w:pPr>
              <w:widowControl/>
              <w:jc w:val="center"/>
              <w:textAlignment w:val="center"/>
              <w:rPr>
                <w:rFonts w:ascii="Times New Roman" w:hAnsi="Times New Roman" w:cs="Times New Roman"/>
                <w:kern w:val="0"/>
                <w:sz w:val="18"/>
                <w:szCs w:val="18"/>
              </w:rPr>
            </w:pPr>
            <w:r>
              <w:fldChar w:fldCharType="begin"/>
            </w:r>
            <w:r>
              <w:instrText xml:space="preserve"> HYPERLINK "https://www.medsci.cn/sci/submit.do?id=b5bb6460" </w:instrText>
            </w:r>
            <w:r>
              <w:fldChar w:fldCharType="separate"/>
            </w:r>
            <w:r>
              <w:rPr>
                <w:rStyle w:val="27"/>
                <w:rFonts w:ascii="Times New Roman" w:hAnsi="Times New Roman" w:cs="Times New Roman"/>
                <w:color w:val="auto"/>
                <w:sz w:val="18"/>
                <w:szCs w:val="18"/>
              </w:rPr>
              <w:t>Reproduction in Domestic Animals</w:t>
            </w:r>
            <w:r>
              <w:rPr>
                <w:rStyle w:val="27"/>
                <w:rFonts w:ascii="Times New Roman" w:hAnsi="Times New Roman" w:cs="Times New Roman"/>
                <w:color w:val="auto"/>
                <w:sz w:val="18"/>
                <w:szCs w:val="18"/>
              </w:rPr>
              <w:fldChar w:fldCharType="end"/>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卷:53期:6页:1580-1588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H19 regulates the proliferation of bovine male germline stem cells via IGF-1 signaling pathway.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Lei Q</w:t>
            </w:r>
          </w:p>
        </w:tc>
        <w:tc>
          <w:tcPr>
            <w:tcW w:w="1535" w:type="dxa"/>
            <w:vAlign w:val="center"/>
          </w:tcPr>
          <w:p>
            <w:pPr>
              <w:widowControl/>
              <w:jc w:val="center"/>
              <w:textAlignment w:val="center"/>
              <w:rPr>
                <w:rFonts w:ascii="Times New Roman" w:hAnsi="Times New Roman" w:cs="Times New Roman"/>
                <w:kern w:val="0"/>
                <w:sz w:val="18"/>
                <w:szCs w:val="18"/>
              </w:rPr>
            </w:pPr>
            <w:r>
              <w:fldChar w:fldCharType="begin"/>
            </w:r>
            <w:r>
              <w:instrText xml:space="preserve"> HYPERLINK "https://www.medsci.cn/sci/submit.do?id=8ec63545" </w:instrText>
            </w:r>
            <w:r>
              <w:fldChar w:fldCharType="separate"/>
            </w:r>
            <w:r>
              <w:rPr>
                <w:rStyle w:val="27"/>
                <w:rFonts w:ascii="Times New Roman" w:hAnsi="Times New Roman" w:cs="Times New Roman"/>
                <w:color w:val="auto"/>
                <w:sz w:val="18"/>
                <w:szCs w:val="18"/>
              </w:rPr>
              <w:t>Journal of Cellular Physiology</w:t>
            </w:r>
            <w:r>
              <w:rPr>
                <w:rStyle w:val="27"/>
                <w:rFonts w:ascii="Times New Roman" w:hAnsi="Times New Roman" w:cs="Times New Roman"/>
                <w:color w:val="auto"/>
                <w:sz w:val="18"/>
                <w:szCs w:val="18"/>
              </w:rPr>
              <w:fldChar w:fldCharType="end"/>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卷:234期:1页:915-926</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Immortalization of canine adipose-derived mesenchymal stem cells and their seminiferous tubule transplantation.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Fang J</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Biochemistry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卷:119期:4页:3663-3670</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miR-19b-3p induces cell proliferation and reduces heterochromatin-mediated senescence through PLZF in goat male germline stem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Clotaire DZJ</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卷:233期:6页:4652-4665</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Double sex and mab-3 related transcription factor 1 regulates differentiation and proliferation in dairy goat male germline stem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Wei Y</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Journal of Cellular Physiology.</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卷:233期:3页: 2537-2548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Melatonin attenuates detrimental effects of diabetes on the niche of mouse spermatogonial stem cells by maintaining Leydig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Du Z</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Cell Death &amp; Disease</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卷:9期:10页:968</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microRNA-4331 Promotes Transmissible Gastroenteritis Virus (TGEV)-induced Mitochondrial Damage Via Targeting RB1, Upregulating Interleukin-1 Receptor Accessory Protein (IL1RAP), and Activating p38 MAPK Pathway In Vitro</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赵晓民</w:t>
            </w:r>
          </w:p>
        </w:tc>
        <w:tc>
          <w:tcPr>
            <w:tcW w:w="1535"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Molecular &amp; Cellular Proteomics</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卷:17期:2页:190-204</w:t>
            </w:r>
          </w:p>
        </w:tc>
        <w:tc>
          <w:tcPr>
            <w:tcW w:w="897"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4"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237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Inductive effect of Zoletil on cystathionine β-synthase expression in the rat brain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卢德章</w:t>
            </w:r>
          </w:p>
        </w:tc>
        <w:tc>
          <w:tcPr>
            <w:tcW w:w="1535"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International Journal of Biological Macromolecules</w:t>
            </w:r>
          </w:p>
        </w:tc>
        <w:tc>
          <w:tcPr>
            <w:tcW w:w="130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卷:117期:10页:1211-1215</w:t>
            </w:r>
          </w:p>
        </w:tc>
        <w:tc>
          <w:tcPr>
            <w:tcW w:w="897"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238</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Coactosin-like protein 1 inhibits neuronal migration during mouse corticogenesis</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Guohong Li, Yupeng Yin</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Veterinary Science</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卷:31期:19页:21-26</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239</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Expression of IFNAR1 and IFNAR2 in cattle placenta during early pregnancy</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王玮玮</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Reproduction in Domestic Animals</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卷:53期:2页:385-392</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240</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Baicalin inhibits Escherichia coli isolates in bovine mastitic milk and reduces antimicrobial resistance</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赵秋云</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Dairy Science</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卷:101期:3页:2415-2422</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241</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Serum hepatokines in dairy cows: periparturient variation and changes in energy-lated metabolic disorders</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王建国</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BMC Veterinary Research</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卷:14期:1页:236</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242</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High non-esterified fatty acid concentrations promote expression and secretion of fibroblast growth factor 21 in calf hepatocytes cultured in vitro</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王建国</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Animal Physiology and Animal Nutrition</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卷:102期:1页:e476-e481</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243</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Changes of macrominerals and calcitropic hormones in serum of periparturient dairy cows subject to subclinical hypocalcemia</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蔡传江</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Dairy Research</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卷:85期:1页:12-15</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244</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Strontium promote transforming growth factor β1 and β2 expression in rat chondrocytes cultured in vitro</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孔叶子</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Biological Trace Element Research</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卷:184期:2页:450-455</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245</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Porcine Circovirus Type 2 Suppresses IL-12p40 Induction via Capsid/gC1qR-Mediated MicroRNAs and Signalings.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杜谦</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Immunology</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卷:201期:2页:533-547</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246</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Porcine MKRN1 Modulates the Replication and Pathogenesis of Porcine Circovirus Type 2 by Inducing Capsid Protein Ubiquitination and Degradation.</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王彤彤</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Journal of Virology</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卷:92期:11页:e00100-18</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247</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Brucella Downregulates Tumor Necrosis Factor-α to Promote Intracellular Survival via Omp25 Regulation of Different MicroRNAs in Porcine and Murine Macrophages.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罗小毛</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Frontiers in Immunology</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卷:8页:2013</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248</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Arctigenin Induces an Activation Response in Porcine Alveolar Macrophage Through TLR6-NOX2-MAPKs Signaling Pathway</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陆征</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Frontiers in Pharmacology</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卷:9页:475</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249</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Differentially expressed non-coding RNAs induced by transmissible gastroenteritis virus potentially regulate inflammation and NF-kappa B pathway in porcine intestinal epithelial cell line</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马雪连</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BMC Genomics</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卷:19期:1页:747</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250</w:t>
            </w:r>
          </w:p>
        </w:tc>
        <w:tc>
          <w:tcPr>
            <w:tcW w:w="2930" w:type="dxa"/>
            <w:vAlign w:val="center"/>
          </w:tcPr>
          <w:p>
            <w:pPr>
              <w:widowControl/>
              <w:textAlignment w:val="center"/>
              <w:rPr>
                <w:rFonts w:ascii="Times New Roman" w:hAnsi="Times New Roman" w:eastAsia="仿宋" w:cs="Times New Roman"/>
                <w:sz w:val="20"/>
                <w:szCs w:val="20"/>
              </w:rPr>
            </w:pPr>
            <w:r>
              <w:rPr>
                <w:rFonts w:ascii="Times New Roman" w:hAnsi="Times New Roman" w:cs="Times New Roman"/>
                <w:kern w:val="0"/>
                <w:sz w:val="18"/>
                <w:szCs w:val="18"/>
              </w:rPr>
              <w:t>Porcine parvovirus infection impairs progesterone production in luteal cells through mitogen-activated protein kinases, p53, and mitochondria-mediated apoptosis.</w:t>
            </w:r>
          </w:p>
        </w:tc>
        <w:tc>
          <w:tcPr>
            <w:tcW w:w="95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张樑</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Biology of Reproduction</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卷:98期:4页:558-569</w:t>
            </w:r>
          </w:p>
        </w:tc>
        <w:tc>
          <w:tcPr>
            <w:tcW w:w="897"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251</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Ghrelin is expressed in the pregnant mammary glands of dairy goats and promotes the cell proliferation of mammary epithelial cells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张文龙</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General and Comparative Endocrinology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卷:260页:115-124</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252</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Melamine causes testicular toxicity by destroying blood-testis barrier in piglets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常玲玲</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Toxicology Letters</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期:296页:114-124</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253</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Melatonin stimulates the secretion of progesterone along with the expression of cholesterol side-chain cleavage enzyme (P450scc) and steroidogenic acute regulatory protein (StAR) in corpus luteum of pregnant sows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张文龙</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Theriogenology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卷:108页:297-305</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254</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Characterization of female germline stem cells from adult mouse ovaries and the role of rapamycin on them.</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杨泓</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Cytotechnology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卷：70页：843-854</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255</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MicroRNA expression profiling of goat peripheral blood mononuclear cells in response to peste des petits ruminants virus infection</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齐雪峰</w:t>
            </w:r>
          </w:p>
        </w:tc>
        <w:tc>
          <w:tcPr>
            <w:tcW w:w="1535" w:type="dxa"/>
          </w:tcPr>
          <w:p>
            <w:pPr>
              <w:widowControl/>
              <w:jc w:val="center"/>
              <w:textAlignment w:val="top"/>
              <w:rPr>
                <w:rFonts w:ascii="Times New Roman" w:hAnsi="Times New Roman" w:eastAsia="仿宋" w:cs="Times New Roman"/>
                <w:sz w:val="20"/>
                <w:szCs w:val="20"/>
              </w:rPr>
            </w:pPr>
            <w:r>
              <w:rPr>
                <w:rFonts w:ascii="Times New Roman" w:hAnsi="Times New Roman" w:cs="Times New Roman"/>
                <w:kern w:val="0"/>
                <w:sz w:val="18"/>
                <w:szCs w:val="18"/>
              </w:rPr>
              <w:t>Veterinary Research</w:t>
            </w:r>
          </w:p>
        </w:tc>
        <w:tc>
          <w:tcPr>
            <w:tcW w:w="1303" w:type="dxa"/>
            <w:vAlign w:val="center"/>
          </w:tcPr>
          <w:p>
            <w:pPr>
              <w:widowControl/>
              <w:jc w:val="center"/>
              <w:textAlignment w:val="center"/>
              <w:rPr>
                <w:rFonts w:ascii="Times New Roman" w:hAnsi="Times New Roman" w:eastAsia="仿宋" w:cs="Times New Roman"/>
                <w:sz w:val="20"/>
                <w:szCs w:val="20"/>
              </w:rPr>
            </w:pPr>
            <w:r>
              <w:rPr>
                <w:rFonts w:ascii="Times New Roman" w:hAnsi="Times New Roman" w:cs="Times New Roman"/>
                <w:kern w:val="0"/>
                <w:sz w:val="18"/>
                <w:szCs w:val="18"/>
              </w:rPr>
              <w:t>卷:49期:1页:62</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256</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Binding and entry of peste des petits ruminants virus into caprine endometrial epithelial cells profoundly affect early cellular gene expression</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杨勃,齐雪峰</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Veterinary Research</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卷:49期:1页:8</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257</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Autophagy enhances the replication of Peste des petits ruminants virus and inhibits caspase-dependent apoptosis in vitro</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杨勃</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Virulence</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卷:9期:1页:1176-1194</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258</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Autophagy Benefits the Replication of Egg Drop Syndrome Virus in Duck Embryo Fibroblasts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王雪平</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卷:29期:9页:1091</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259</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Down-regulation of cellular protein heme oxygenase-1 inhibits proliferation of avian influenza virus H9N2 in chicken oviduct epithelial cells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齐雪峰</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Journal of General Virology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卷:99期:1页:36-43</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260</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Classical swine fever virus infection and its NS4A protein expression induce IL-8 production through MAVS signaling pathway in swine umbilical vein endothelial cells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董望</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卷:8</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261</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Rab1A is required for assembly of classical swine fever virus particle</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林吉辉</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Virology</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卷:514页:18-29</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262</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Tumor Necrosis Factor Receptor-Associated Factor 5 Interacts with the NS3 Protein and Promotes Classical Swine Fever Virus Replication</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吕慧芳</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Viruses-basel</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卷:10期：6文献号: 305</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263</w:t>
            </w:r>
          </w:p>
        </w:tc>
        <w:tc>
          <w:tcPr>
            <w:tcW w:w="2930" w:type="dxa"/>
            <w:vAlign w:val="center"/>
          </w:tcPr>
          <w:p>
            <w:pPr>
              <w:widowControl/>
              <w:textAlignment w:val="center"/>
              <w:rPr>
                <w:rFonts w:ascii="Times New Roman" w:hAnsi="Times New Roman" w:cs="Times New Roman"/>
                <w:sz w:val="28"/>
                <w:szCs w:val="28"/>
              </w:rPr>
            </w:pPr>
            <w:r>
              <w:rPr>
                <w:rFonts w:ascii="Times New Roman" w:hAnsi="Times New Roman" w:cs="Times New Roman"/>
                <w:kern w:val="0"/>
                <w:sz w:val="18"/>
                <w:szCs w:val="18"/>
              </w:rPr>
              <w:t>FHC, an NS4B-Interacting Protein, Enhances Classical Swine Fever Virus Propagation and Acts Positively in Viral Anti-apoptosis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钱贵</w:t>
            </w:r>
          </w:p>
        </w:tc>
        <w:tc>
          <w:tcPr>
            <w:tcW w:w="1535" w:type="dxa"/>
          </w:tcPr>
          <w:p>
            <w:pPr>
              <w:widowControl/>
              <w:jc w:val="center"/>
              <w:textAlignment w:val="top"/>
              <w:rPr>
                <w:rFonts w:ascii="Times New Roman" w:hAnsi="Times New Roman" w:cs="Times New Roman"/>
                <w:sz w:val="28"/>
                <w:szCs w:val="28"/>
              </w:rPr>
            </w:pPr>
            <w:r>
              <w:rPr>
                <w:rFonts w:ascii="Times New Roman" w:hAnsi="Times New Roman" w:cs="Times New Roman"/>
                <w:kern w:val="0"/>
                <w:sz w:val="18"/>
                <w:szCs w:val="18"/>
              </w:rPr>
              <w:t>Scientific Reports</w:t>
            </w:r>
          </w:p>
        </w:tc>
        <w:tc>
          <w:tcPr>
            <w:tcW w:w="1303" w:type="dxa"/>
            <w:vAlign w:val="center"/>
          </w:tcPr>
          <w:p>
            <w:pPr>
              <w:widowControl/>
              <w:jc w:val="center"/>
              <w:textAlignment w:val="center"/>
              <w:rPr>
                <w:rFonts w:ascii="Times New Roman" w:hAnsi="Times New Roman" w:cs="Times New Roman"/>
                <w:sz w:val="28"/>
                <w:szCs w:val="28"/>
              </w:rPr>
            </w:pPr>
            <w:r>
              <w:rPr>
                <w:rFonts w:ascii="Times New Roman" w:hAnsi="Times New Roman" w:cs="Times New Roman"/>
                <w:kern w:val="0"/>
                <w:sz w:val="18"/>
                <w:szCs w:val="18"/>
              </w:rPr>
              <w:t>卷:8期：6文献号: 8318</w:t>
            </w:r>
          </w:p>
        </w:tc>
        <w:tc>
          <w:tcPr>
            <w:tcW w:w="897" w:type="dxa"/>
          </w:tcPr>
          <w:p>
            <w:pPr>
              <w:widowControl/>
              <w:jc w:val="center"/>
              <w:textAlignment w:val="top"/>
              <w:rPr>
                <w:rFonts w:ascii="Times New Roman" w:hAnsi="Times New Roman" w:cs="Times New Roman"/>
                <w:sz w:val="20"/>
                <w:szCs w:val="20"/>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264</w:t>
            </w:r>
          </w:p>
        </w:tc>
        <w:tc>
          <w:tcPr>
            <w:tcW w:w="2930" w:type="dxa"/>
            <w:vAlign w:val="center"/>
          </w:tcPr>
          <w:p>
            <w:pPr>
              <w:widowControl/>
              <w:textAlignment w:val="center"/>
              <w:rPr>
                <w:rFonts w:ascii="Times New Roman" w:hAnsi="Times New Roman" w:cs="Times New Roman"/>
                <w:kern w:val="0"/>
                <w:sz w:val="20"/>
                <w:szCs w:val="20"/>
              </w:rPr>
            </w:pPr>
            <w:r>
              <w:rPr>
                <w:rFonts w:ascii="Times New Roman" w:hAnsi="Times New Roman" w:cs="Times New Roman"/>
                <w:kern w:val="0"/>
                <w:sz w:val="18"/>
                <w:szCs w:val="18"/>
              </w:rPr>
              <w:t>MAVS induces a host cell defense to inhibit CSFV infection</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董望</w:t>
            </w:r>
          </w:p>
        </w:tc>
        <w:tc>
          <w:tcPr>
            <w:tcW w:w="1535" w:type="dxa"/>
          </w:tcPr>
          <w:p>
            <w:pPr>
              <w:widowControl/>
              <w:jc w:val="center"/>
              <w:textAlignment w:val="top"/>
              <w:rPr>
                <w:rFonts w:ascii="Times New Roman" w:hAnsi="Times New Roman" w:cs="Times New Roman"/>
                <w:kern w:val="0"/>
                <w:sz w:val="20"/>
                <w:szCs w:val="20"/>
              </w:rPr>
            </w:pPr>
            <w:r>
              <w:rPr>
                <w:rFonts w:ascii="Times New Roman" w:hAnsi="Times New Roman" w:cs="Times New Roman"/>
                <w:kern w:val="0"/>
                <w:sz w:val="18"/>
                <w:szCs w:val="18"/>
              </w:rPr>
              <w:t>Archives of Virology</w:t>
            </w:r>
          </w:p>
        </w:tc>
        <w:tc>
          <w:tcPr>
            <w:tcW w:w="1303"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卷:163期：7页:1805-1821</w:t>
            </w:r>
          </w:p>
        </w:tc>
        <w:tc>
          <w:tcPr>
            <w:tcW w:w="897" w:type="dxa"/>
          </w:tcPr>
          <w:p>
            <w:pPr>
              <w:widowControl/>
              <w:jc w:val="center"/>
              <w:textAlignment w:val="top"/>
              <w:rPr>
                <w:rFonts w:ascii="Times New Roman" w:hAnsi="Times New Roman" w:eastAsia="仿宋" w:cs="Times New Roman"/>
                <w:sz w:val="28"/>
                <w:szCs w:val="2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51" w:hRule="atLeast"/>
        </w:trPr>
        <w:tc>
          <w:tcPr>
            <w:tcW w:w="564" w:type="dxa"/>
            <w:vAlign w:val="center"/>
          </w:tcPr>
          <w:p>
            <w:pPr>
              <w:widowControl/>
              <w:jc w:val="center"/>
              <w:textAlignment w:val="center"/>
              <w:rPr>
                <w:rFonts w:ascii="Times New Roman" w:hAnsi="Times New Roman" w:eastAsia="楷体" w:cs="Times New Roman"/>
              </w:rPr>
            </w:pPr>
            <w:r>
              <w:rPr>
                <w:rFonts w:ascii="Times New Roman" w:hAnsi="Times New Roman" w:cs="Times New Roman"/>
                <w:kern w:val="0"/>
                <w:sz w:val="18"/>
                <w:szCs w:val="18"/>
              </w:rPr>
              <w:t>265</w:t>
            </w:r>
          </w:p>
        </w:tc>
        <w:tc>
          <w:tcPr>
            <w:tcW w:w="2930" w:type="dxa"/>
            <w:vAlign w:val="center"/>
          </w:tcPr>
          <w:p>
            <w:pPr>
              <w:widowControl/>
              <w:textAlignment w:val="center"/>
              <w:rPr>
                <w:rFonts w:ascii="Times New Roman" w:hAnsi="Times New Roman" w:eastAsia="仿宋" w:cs="Times New Roman"/>
                <w:sz w:val="28"/>
                <w:szCs w:val="28"/>
              </w:rPr>
            </w:pPr>
            <w:r>
              <w:rPr>
                <w:rFonts w:ascii="Times New Roman" w:hAnsi="Times New Roman" w:cs="Times New Roman"/>
                <w:kern w:val="0"/>
                <w:sz w:val="18"/>
                <w:szCs w:val="18"/>
              </w:rPr>
              <w:t>Tissue expression of Toll-like receptors 2, 3, 4 and 7 in swine in response to the Shimen strain of classical swine fever virus</w:t>
            </w:r>
          </w:p>
        </w:tc>
        <w:tc>
          <w:tcPr>
            <w:tcW w:w="953" w:type="dxa"/>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18"/>
                <w:szCs w:val="18"/>
              </w:rPr>
              <w:t>曹志</w:t>
            </w:r>
          </w:p>
        </w:tc>
        <w:tc>
          <w:tcPr>
            <w:tcW w:w="1535" w:type="dxa"/>
          </w:tcPr>
          <w:p>
            <w:pPr>
              <w:widowControl/>
              <w:jc w:val="center"/>
              <w:textAlignment w:val="top"/>
              <w:rPr>
                <w:rFonts w:ascii="Times New Roman" w:hAnsi="Times New Roman" w:eastAsia="仿宋" w:cs="Times New Roman"/>
                <w:sz w:val="28"/>
                <w:szCs w:val="28"/>
              </w:rPr>
            </w:pPr>
            <w:r>
              <w:rPr>
                <w:rFonts w:ascii="Times New Roman" w:hAnsi="Times New Roman" w:cs="Times New Roman"/>
                <w:kern w:val="0"/>
                <w:sz w:val="18"/>
                <w:szCs w:val="18"/>
              </w:rPr>
              <w:t>Molecular Medicine Reports</w:t>
            </w:r>
          </w:p>
        </w:tc>
        <w:tc>
          <w:tcPr>
            <w:tcW w:w="1303"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卷:17期：5页:7122-7130</w:t>
            </w:r>
          </w:p>
        </w:tc>
        <w:tc>
          <w:tcPr>
            <w:tcW w:w="897" w:type="dxa"/>
          </w:tcPr>
          <w:p>
            <w:pPr>
              <w:widowControl/>
              <w:jc w:val="center"/>
              <w:textAlignment w:val="top"/>
              <w:rPr>
                <w:rFonts w:ascii="Times New Roman" w:hAnsi="Times New Roman" w:eastAsia="仿宋" w:cs="Times New Roman"/>
                <w:sz w:val="28"/>
                <w:szCs w:val="2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eastAsia="仿宋" w:cs="Times New Roman"/>
                <w:sz w:val="28"/>
                <w:szCs w:val="2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19"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266</w:t>
            </w:r>
          </w:p>
        </w:tc>
        <w:tc>
          <w:tcPr>
            <w:tcW w:w="2930" w:type="dxa"/>
            <w:vAlign w:val="center"/>
          </w:tcPr>
          <w:p>
            <w:pPr>
              <w:widowControl/>
              <w:textAlignment w:val="center"/>
              <w:rPr>
                <w:rFonts w:ascii="Times New Roman" w:hAnsi="Times New Roman" w:cs="Times New Roman"/>
                <w:sz w:val="18"/>
                <w:szCs w:val="18"/>
              </w:rPr>
            </w:pPr>
            <w:r>
              <w:rPr>
                <w:rFonts w:ascii="Times New Roman" w:hAnsi="Times New Roman" w:cs="Times New Roman"/>
                <w:kern w:val="0"/>
                <w:sz w:val="18"/>
                <w:szCs w:val="18"/>
              </w:rPr>
              <w:t>MicroRNA-221-5p Inhibits Porcine Epidemic Diarrhea Virus Replication by Targeting Genomic Viral RNA and Activating the NF-κB Pathway</w:t>
            </w:r>
          </w:p>
        </w:tc>
        <w:tc>
          <w:tcPr>
            <w:tcW w:w="95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郑红青</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International Journal of Molecular Siences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卷:19期：11文献号:3381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267</w:t>
            </w:r>
          </w:p>
        </w:tc>
        <w:tc>
          <w:tcPr>
            <w:tcW w:w="2930" w:type="dxa"/>
            <w:vAlign w:val="center"/>
          </w:tcPr>
          <w:p>
            <w:pPr>
              <w:widowControl/>
              <w:textAlignment w:val="center"/>
              <w:rPr>
                <w:rFonts w:ascii="Times New Roman" w:hAnsi="Times New Roman" w:cs="Times New Roman"/>
                <w:sz w:val="18"/>
                <w:szCs w:val="18"/>
              </w:rPr>
            </w:pPr>
            <w:r>
              <w:rPr>
                <w:rFonts w:ascii="Times New Roman" w:hAnsi="Times New Roman" w:cs="Times New Roman"/>
                <w:kern w:val="0"/>
                <w:sz w:val="18"/>
                <w:szCs w:val="18"/>
              </w:rPr>
              <w:t>Human-pathogenic Anaplasma spp., and Rickettsia spp. in animals in Xi'an, China</w:t>
            </w:r>
          </w:p>
        </w:tc>
        <w:tc>
          <w:tcPr>
            <w:tcW w:w="95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郭文平</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PLoS Neglected Tropical Diseases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卷:12期：11文献号:e0006916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268</w:t>
            </w:r>
          </w:p>
        </w:tc>
        <w:tc>
          <w:tcPr>
            <w:tcW w:w="2930" w:type="dxa"/>
            <w:vAlign w:val="center"/>
          </w:tcPr>
          <w:p>
            <w:pPr>
              <w:widowControl/>
              <w:textAlignment w:val="center"/>
              <w:rPr>
                <w:rFonts w:ascii="Times New Roman" w:hAnsi="Times New Roman" w:cs="Times New Roman"/>
                <w:sz w:val="18"/>
                <w:szCs w:val="18"/>
              </w:rPr>
            </w:pPr>
            <w:r>
              <w:rPr>
                <w:rFonts w:ascii="Times New Roman" w:hAnsi="Times New Roman" w:cs="Times New Roman"/>
                <w:kern w:val="0"/>
                <w:sz w:val="18"/>
                <w:szCs w:val="18"/>
              </w:rPr>
              <w:t>Pathogenicity of blood orf virus isolates in the development of dairy goat contagious pustular dermatitis</w:t>
            </w:r>
          </w:p>
        </w:tc>
        <w:tc>
          <w:tcPr>
            <w:tcW w:w="95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程红玉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Veterinary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卷:219文献号:10.1016/j.vetmic.2018.04.020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269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Ivermectin inhibits DNA polymerase UL42 of pseudorabies virus entrance into the nucleus and proliferation of the virus in vitro and vivo</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ChangjieLv</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Antiviral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卷:159期:11页:55-62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Newcastle Disease Virus V Protein Inhibits Cell Apoptosis and Promotes Viral Replication by Targeting CacyBP/SIP</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Chu, ZL</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Frontiers in Cellular and Infection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卷:8篇304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Immune protection efficacy of FAdV-4 surface proteins fiber-1, fiber-2, hexon and penton base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Wang, XL</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Virus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卷:245期:2页:1-6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Newcastle Disease Virus V Protein Promotes Viral Replication in HeLa Cells through the Activation of MEK/ERK Signaling</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Chu, ZL</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Viruses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卷:10期：9篇489页: 5-11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Common microRNA-mRNA Interactions in Different Newcastle Disease Virus-Infected Chicken Embryonic Visceral Tissues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Jia, YQ</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International Journal of Molecular Sciences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卷:19期:5篇1291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Newcastle disease virus V protein inhibits apoptosis in DF-1 cells by downregulating TXNL1</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Wang, CY</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Veterinary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卷:49篇102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Recombinant MYH9 protein C-terminal domain blocks porcine reproductive and respiratory syndrome virus internalization by direct interaction with viral glycoprotein 5.</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李亮亮</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Antiviral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卷:156页:10-20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Three Novel Linear Neutralizing B-Cell Epitopes in the Capsid Protein of Swine Hepatitis E Virus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陈宜阳</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Virology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卷:92期:13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Avian hepatitis E virus infection of duck, goose, and rabbit in northwest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刘宝元</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Emerging Microbes &amp; Infections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Clover-tagged porcine reproductive and respiratory syndrome virus infectious clones for rapid detection of virus neutralizing antibodies.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黄柏成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Virological Methods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卷:259页:100-105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279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Identification of the RNA Pseudoknot within the 3' End of the Porcine Reproductive and Respiratory Syndrome Virus Genome as a Pathogen-Associated Molecular Pattern To Activate Antiviral Signaling via RIG-I and Toll-Like Receptor 3.</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谢莎</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Virology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卷:92期:12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Trigger factor assisted self-assembly of canine parvovirus VP2 protein into virus-like particles in Escherichia coli with high immunogenicity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南靓靓</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Virology Journal</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 novel duplex TaqMan probe-based real-time RT-qPCR for detecting and differentiating classical and variant porcine epidemic diarrhea viruses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苏运芳</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Molecular and Cellular Probes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卷:37页:6-11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Brucella induces unfolded protein response and inflammatory response via GntR in alveolar macrophages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周栋</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Oncotarget</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卷:9期:4页:5184-51966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CREB3 regulatory factor -mTOR-autophagy regulates goat endometrial function during early pregnancy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杨迪琦</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Biology of rReproduction</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卷:98期:5页:713-721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Hormone regulates endometrial function via cooperation of endoplasmic reticulum stress and mTOR-autophagy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杨迪琦</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Cellular Physiology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卷:233期:9页:6644-6659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Interferon-tau regulates prostaglandin release in goat endometrial stromal cells via JAB1 - unfolded protein response pathway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杨迪琦</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Theriogenology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卷:113页:237-2461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Activation of CREBZF Increases Cell Apoptosis in Mouse Ovarian Granulosa Cells by Regulating the ERK1/2 and mTOR Signaling Pathways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陈风雷</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International Journal of Molecular Sciences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卷:19期:11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Endoplasmic reticulum stress is involved in the T-2 toxin-induced apoptosis in goat endometrium epithelial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伊扬磊</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Applied Toxicology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卷:38期:12页:1492-1501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Abundant Focal Adhesion Kinase Causes Aberrant Neuronal Migration Via Its Phosphorylation at Tyr925</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安磊</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Molecular Neuroscience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64:102–110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289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P85 regulates neuronal migration through affecting neuronal morphology during mouse corticogenesis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成欣然</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Cell Tissue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372:23–31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The effect of P85 on neuronal proliferation and differentiation during development of mouse cerebral cortex</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成欣然</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Developmental 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441：95–103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Further studies about Coactosin-like protein-1 aﬀecting the migration of mouse neocortical neurons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刘蒙蒙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Molecular Histology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49:519–530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High level of CTP synthase induces formation of cytoophidia in cortical neurons and impairs corticogenesis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李旭召</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Histochemistry and Cell 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149:61–73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Developmental exposure of decabromodiphenyl ether impairs subventricular zone neurogenesis and morphology of granule cells in mouse olfactory bulb</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许明锐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Archives of Toxicology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92:529–539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Transmissible gastroenteritis virus N protein causes endoplasmic reticulum stress, up-regulates interleukin-8 expression and its subcellular localization in the porcine intestinal epithelial cell</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张琪</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Research in Veterinary Science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卷:119页:109-115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Overexpression of Tet3 in donor cells enhances goat somatic cell nuclear transfer efficiency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韩成全邓瑞芝</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Febs Journal</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卷:285期:14页:2708-2723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Protective Effects of Quercetin Against Cadmium Chloride-Induced Oxidative Injury in Goat Sperm and Zygotes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毛廷超</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Biological Trace Element Research</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卷:185期:2页:44-35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The oncogene Etv5 promotes MET in somatic reprogramming and orchestrates epiblast/primitive endoderm specification during mESCs differentiation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张景龙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Cell Death &amp; Disease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卷:9期:2页:224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Vaccine Development against Zoonotic Hepatitis E Virus: Open Questions and Remaining Challenges</w:t>
            </w:r>
          </w:p>
        </w:tc>
        <w:tc>
          <w:tcPr>
            <w:tcW w:w="953" w:type="dxa"/>
            <w:vAlign w:val="center"/>
          </w:tcPr>
          <w:p>
            <w:pPr>
              <w:widowControl/>
              <w:jc w:val="center"/>
              <w:textAlignment w:val="center"/>
              <w:rPr>
                <w:rFonts w:ascii="Times New Roman" w:hAnsi="Times New Roman" w:cs="Times New Roman"/>
                <w:kern w:val="0"/>
                <w:sz w:val="18"/>
                <w:szCs w:val="18"/>
                <w:highlight w:val="red"/>
              </w:rPr>
            </w:pPr>
            <w:r>
              <w:rPr>
                <w:rFonts w:ascii="Times New Roman" w:hAnsi="Times New Roman" w:cs="Times New Roman"/>
                <w:kern w:val="0"/>
                <w:sz w:val="18"/>
                <w:szCs w:val="18"/>
              </w:rPr>
              <w:t>南雨辰</w:t>
            </w:r>
          </w:p>
        </w:tc>
        <w:tc>
          <w:tcPr>
            <w:tcW w:w="1535" w:type="dxa"/>
          </w:tcPr>
          <w:p>
            <w:pPr>
              <w:widowControl/>
              <w:jc w:val="center"/>
              <w:textAlignment w:val="top"/>
              <w:rPr>
                <w:rFonts w:ascii="Times New Roman" w:hAnsi="Times New Roman" w:cs="Times New Roman"/>
                <w:sz w:val="18"/>
                <w:szCs w:val="18"/>
                <w:highlight w:val="red"/>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18"/>
                <w:szCs w:val="18"/>
              </w:rPr>
              <w:t>卷9期:266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299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Antisense Phosphorodiamidate Morpholino Oligomers as Novel Antiviral Compounds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南雨辰</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卷9期:750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Development of luciferase-linked antibody capture assay based on luciferase immunoprecipitation systems for antibody detection of porcine reproductive and respiratory syndrome virus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李洁（学）</w:t>
            </w:r>
          </w:p>
        </w:tc>
        <w:tc>
          <w:tcPr>
            <w:tcW w:w="1535" w:type="dxa"/>
          </w:tcPr>
          <w:p>
            <w:pPr>
              <w:widowControl/>
              <w:jc w:val="center"/>
              <w:textAlignment w:val="top"/>
              <w:rPr>
                <w:rFonts w:ascii="Times New Roman" w:hAnsi="Times New Roman" w:cs="Times New Roman"/>
                <w:sz w:val="18"/>
                <w:szCs w:val="18"/>
                <w:highlight w:val="red"/>
              </w:rPr>
            </w:pPr>
            <w:r>
              <w:rPr>
                <w:rFonts w:ascii="Times New Roman" w:hAnsi="Times New Roman" w:cs="Times New Roman"/>
                <w:kern w:val="0"/>
                <w:sz w:val="18"/>
                <w:szCs w:val="18"/>
              </w:rPr>
              <w:t>BMC Biotechnology</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18"/>
                <w:szCs w:val="18"/>
              </w:rPr>
              <w:t>卷18期:73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301</w:t>
            </w:r>
          </w:p>
        </w:tc>
        <w:tc>
          <w:tcPr>
            <w:tcW w:w="2930" w:type="dxa"/>
            <w:vAlign w:val="center"/>
          </w:tcPr>
          <w:p>
            <w:pPr>
              <w:widowControl/>
              <w:textAlignment w:val="center"/>
              <w:rPr>
                <w:rFonts w:ascii="Times New Roman" w:hAnsi="Times New Roman" w:cs="Times New Roman"/>
                <w:kern w:val="0"/>
                <w:sz w:val="18"/>
                <w:szCs w:val="18"/>
                <w:highlight w:val="red"/>
              </w:rPr>
            </w:pPr>
            <w:r>
              <w:rPr>
                <w:rFonts w:ascii="Times New Roman" w:hAnsi="Times New Roman" w:cs="Times New Roman"/>
                <w:kern w:val="0"/>
                <w:sz w:val="18"/>
                <w:szCs w:val="18"/>
              </w:rPr>
              <w:t>Interferon Independent Non-Canonical STAT Activation and Virus Induced Inflammation</w:t>
            </w:r>
          </w:p>
        </w:tc>
        <w:tc>
          <w:tcPr>
            <w:tcW w:w="953" w:type="dxa"/>
            <w:vAlign w:val="center"/>
          </w:tcPr>
          <w:p>
            <w:pPr>
              <w:widowControl/>
              <w:jc w:val="center"/>
              <w:textAlignment w:val="center"/>
              <w:rPr>
                <w:rFonts w:ascii="Times New Roman" w:hAnsi="Times New Roman" w:cs="Times New Roman"/>
                <w:kern w:val="0"/>
                <w:sz w:val="18"/>
                <w:szCs w:val="18"/>
                <w:highlight w:val="red"/>
              </w:rPr>
            </w:pPr>
            <w:r>
              <w:rPr>
                <w:rFonts w:ascii="Times New Roman" w:hAnsi="Times New Roman" w:cs="Times New Roman"/>
                <w:kern w:val="0"/>
                <w:sz w:val="18"/>
                <w:szCs w:val="18"/>
              </w:rPr>
              <w:t>Yuchen Nan</w:t>
            </w:r>
          </w:p>
        </w:tc>
        <w:tc>
          <w:tcPr>
            <w:tcW w:w="1535" w:type="dxa"/>
          </w:tcPr>
          <w:p>
            <w:pPr>
              <w:widowControl/>
              <w:jc w:val="center"/>
              <w:textAlignment w:val="top"/>
              <w:rPr>
                <w:rFonts w:ascii="Times New Roman" w:hAnsi="Times New Roman" w:cs="Times New Roman"/>
                <w:sz w:val="18"/>
                <w:szCs w:val="18"/>
                <w:highlight w:val="red"/>
              </w:rPr>
            </w:pPr>
            <w:r>
              <w:rPr>
                <w:rFonts w:ascii="Times New Roman" w:hAnsi="Times New Roman" w:cs="Times New Roman"/>
                <w:kern w:val="0"/>
                <w:sz w:val="18"/>
                <w:szCs w:val="18"/>
              </w:rPr>
              <w:t>VIRUSES-BASEL</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18"/>
                <w:szCs w:val="18"/>
              </w:rPr>
              <w:t>卷10期:4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SC1 inhibits the differentiation of F9 embryonic carcinoma cells induced by retinoic acid.</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刘应祥</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Acta Biochimica et Biophysica Sinica</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卷：50；期：8；页：793-799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Nuclear delivery of parasite Cdg2_FLc_0220 RNA transcript to epithelial cells during </w:t>
            </w:r>
            <w:r>
              <w:rPr>
                <w:rFonts w:ascii="Times New Roman" w:hAnsi="Times New Roman" w:cs="Times New Roman"/>
                <w:i/>
                <w:kern w:val="0"/>
                <w:sz w:val="18"/>
                <w:szCs w:val="18"/>
              </w:rPr>
              <w:t>Cryptosporidium parvum</w:t>
            </w:r>
            <w:r>
              <w:rPr>
                <w:rFonts w:ascii="Times New Roman" w:hAnsi="Times New Roman" w:cs="Times New Roman"/>
                <w:kern w:val="0"/>
                <w:sz w:val="18"/>
                <w:szCs w:val="18"/>
              </w:rPr>
              <w:t xml:space="preserve"> infection modulates host gene transcription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赵光辉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Veterinary Parasitology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卷:9页:2316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Expression Profiles of mRNA and lncRNA in HCT-8 Cells Infected With </w:t>
            </w:r>
            <w:r>
              <w:rPr>
                <w:rFonts w:ascii="Times New Roman" w:hAnsi="Times New Roman" w:cs="Times New Roman"/>
                <w:i/>
                <w:kern w:val="0"/>
                <w:sz w:val="18"/>
                <w:szCs w:val="18"/>
              </w:rPr>
              <w:t>Cryptosporidium parvum</w:t>
            </w:r>
            <w:r>
              <w:rPr>
                <w:rFonts w:ascii="Times New Roman" w:hAnsi="Times New Roman" w:cs="Times New Roman"/>
                <w:kern w:val="0"/>
                <w:sz w:val="18"/>
                <w:szCs w:val="18"/>
              </w:rPr>
              <w:t xml:space="preserve"> IId Subtype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刘婷丽</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卷:9页:1409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Novel genotypes and multilocus genotypes of </w:t>
            </w:r>
            <w:r>
              <w:rPr>
                <w:rFonts w:ascii="Times New Roman" w:hAnsi="Times New Roman" w:cs="Times New Roman"/>
                <w:i/>
                <w:kern w:val="0"/>
                <w:sz w:val="18"/>
                <w:szCs w:val="18"/>
              </w:rPr>
              <w:t>Enterocytozoon bieneusi</w:t>
            </w:r>
            <w:r>
              <w:rPr>
                <w:rFonts w:ascii="Times New Roman" w:hAnsi="Times New Roman" w:cs="Times New Roman"/>
                <w:kern w:val="0"/>
                <w:sz w:val="18"/>
                <w:szCs w:val="18"/>
              </w:rPr>
              <w:t xml:space="preserve"> in pigs in northwestern China: A public health concern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王莎莎</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Infection Genetics and Evolution</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卷:63页:89-94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Prevalence and genotypes of </w:t>
            </w:r>
            <w:r>
              <w:rPr>
                <w:rFonts w:ascii="Times New Roman" w:hAnsi="Times New Roman" w:cs="Times New Roman"/>
                <w:i/>
                <w:kern w:val="0"/>
                <w:sz w:val="18"/>
                <w:szCs w:val="18"/>
              </w:rPr>
              <w:t>Enterocytozoon bieneusi</w:t>
            </w:r>
            <w:r>
              <w:rPr>
                <w:rFonts w:ascii="Times New Roman" w:hAnsi="Times New Roman" w:cs="Times New Roman"/>
                <w:kern w:val="0"/>
                <w:sz w:val="18"/>
                <w:szCs w:val="18"/>
              </w:rPr>
              <w:t xml:space="preserve"> in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王莎莎</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Acta Tropica</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卷:183页:142-152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Prevalence and multi-locus genotypes of Enterocytozoon</w:t>
            </w:r>
            <w:r>
              <w:rPr>
                <w:rFonts w:ascii="Times New Roman" w:hAnsi="Times New Roman" w:cs="Times New Roman"/>
                <w:i/>
                <w:kern w:val="0"/>
                <w:sz w:val="18"/>
                <w:szCs w:val="18"/>
              </w:rPr>
              <w:t xml:space="preserve"> bieneusi</w:t>
            </w:r>
            <w:r>
              <w:rPr>
                <w:rFonts w:ascii="Times New Roman" w:hAnsi="Times New Roman" w:cs="Times New Roman"/>
                <w:kern w:val="0"/>
                <w:sz w:val="18"/>
                <w:szCs w:val="18"/>
              </w:rPr>
              <w:t xml:space="preserve"> in black-boned sheep and goats in Yunnan Province, southwestern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陈丹</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Infection Genetics and Evolution</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卷:7期:65页:381-391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Prevalence and multi-locus genotyping of </w:t>
            </w:r>
            <w:r>
              <w:rPr>
                <w:rFonts w:ascii="Times New Roman" w:hAnsi="Times New Roman" w:cs="Times New Roman"/>
                <w:i/>
                <w:kern w:val="0"/>
                <w:sz w:val="18"/>
                <w:szCs w:val="18"/>
              </w:rPr>
              <w:t>Giardia duodenalis</w:t>
            </w:r>
            <w:r>
              <w:rPr>
                <w:rFonts w:ascii="Times New Roman" w:hAnsi="Times New Roman" w:cs="Times New Roman"/>
                <w:kern w:val="0"/>
                <w:sz w:val="18"/>
                <w:szCs w:val="18"/>
              </w:rPr>
              <w:t xml:space="preserve"> from goats in Shaanxi province, northwestern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尹艳玲</w:t>
            </w:r>
          </w:p>
        </w:tc>
        <w:tc>
          <w:tcPr>
            <w:tcW w:w="1535"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Acta Tropica</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卷:182页:202-206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309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Genome-wide analysis of differentially expressed profiles of mRNAs, lncRNAs and circRNAs during Cryptosporidium baileyi infection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任冠静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BMC Genomics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卷:19页:</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 xml:space="preserve">First report of </w:t>
            </w:r>
            <w:r>
              <w:rPr>
                <w:rFonts w:ascii="Times New Roman" w:hAnsi="Times New Roman" w:cs="Times New Roman"/>
                <w:i/>
                <w:kern w:val="0"/>
                <w:sz w:val="18"/>
                <w:szCs w:val="18"/>
              </w:rPr>
              <w:t>Giardia duodenalis</w:t>
            </w:r>
            <w:r>
              <w:rPr>
                <w:rFonts w:ascii="Times New Roman" w:hAnsi="Times New Roman" w:cs="Times New Roman"/>
                <w:kern w:val="0"/>
                <w:sz w:val="18"/>
                <w:szCs w:val="18"/>
              </w:rPr>
              <w:t xml:space="preserve"> infection in bamboo rats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马峋</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Parasites &amp; Vectors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卷:11页:</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Transplantation of Amniotic Scaffold-Seeded Mesenchymal Stem Cells and/or Endothelial Progenitor Cells From Bone Marrow to Efficiently Repair 3-cm</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Chen Chen,* Shuxin Zheng,*</w:t>
            </w:r>
          </w:p>
        </w:tc>
        <w:tc>
          <w:tcPr>
            <w:tcW w:w="1535" w:type="dxa"/>
          </w:tcPr>
          <w:p>
            <w:pPr>
              <w:widowControl/>
              <w:jc w:val="center"/>
              <w:textAlignment w:val="top"/>
              <w:rPr>
                <w:rFonts w:ascii="Times New Roman" w:hAnsi="Times New Roman" w:cs="Times New Roman"/>
                <w:sz w:val="18"/>
                <w:szCs w:val="18"/>
                <w:highlight w:val="red"/>
              </w:rPr>
            </w:pPr>
            <w:r>
              <w:rPr>
                <w:rFonts w:ascii="Times New Roman" w:hAnsi="Times New Roman" w:cs="Times New Roman"/>
                <w:kern w:val="0"/>
                <w:sz w:val="18"/>
                <w:szCs w:val="18"/>
              </w:rPr>
              <w:t>Tissue Engineering</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18"/>
                <w:szCs w:val="18"/>
              </w:rPr>
              <w:t>卷:24期1-2页:47-56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LncRNA Gm5091 alleviates alcoholic hepatic fibrosis by sponging miR-27b/23b/24 in mice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周博</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Cell Biology International</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卷42期10页:1330-1339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Kaempferol's Protective Effect on Ethanol-Induced Mouse Primary Hepatocytes Injury Involved in the Synchronous Inhibition of SP1, Hsp70 and CYP2E1</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周博</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American Journal of Chinese Medicine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卷46期5页:1093-1110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Generation of infectious clone of bovine adenovirus type Ⅰ expressing a visible marker gene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任静静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Virological Methods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卷：261 页：139-146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Comparison of three commonly used fusion tags for the expression of nanoboies in the cytoplasm of Escherichia coli</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刘泽辉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Biotechnology &amp; Biotechnological Equipment</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卷：32 期：2 页：462-469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Porcine reproductive and respiratory syndrome virus  inhibits MARC-145 proliferation via inducing apoptosis  and G2/M arrest by activation of Chk/Cdc25C and p53/p21 pathway</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宋林林</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Virology Journal</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卷:15页:169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Methylglyoxal:A newly detected and potentially harmful metabolite in the blood of ketotic dairy cows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李超</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Dairy Science</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18"/>
                <w:szCs w:val="18"/>
              </w:rPr>
              <w:t>卷:101期:9页:8513–8523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Transmissible gastroenteritis virus nsp7 protein localized in down-regulates interleukin 8 expression in porcine intestinal the cytoplasm epithelial cell</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张琪</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Acta Virologica</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62:41-49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319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IL‐1β induces increased tight junction permeability in bovine mammary epithelial cells via the IL‐1β‐ERK1/2‐MLCK axis upon blood‐milk barrier damage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徐彤</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Cellular Biochemistry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卷:119期:11页:9028-9041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A subchronic feeding safety evaluation of transgenic milk containing human beta-defensin 3 on reproductive system of C57BL/6J mouse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高明清</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Food and Chemical Toxicology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卷:115页:198-204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CYP1A1 Relieves Lipopolysaccharide-Induced Inflammatory Responses in Bovine Mammary Epithelial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张文耀</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Mediators of Inflammation</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文献号：4093825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H3K9 demethylase KDM4E is an epigenetic regulator for bovine embryonic development and a defective factor for nuclear reprogramming</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Liu Xin</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Development</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卷：145期：4页：dev158261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MicroRNA-27b Modulates Inflammatory Response and Apoptosis during Mycobacterium tuberculosis Infection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ShuxinLian</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Immunology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卷:200期:10页: 3506-3518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Characterization of novel alternative splicing variants of Oct4 gene expressed in mouse pluripotent stem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刘晓鹏</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Journal of Cellular Physiology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卷:233期:7页:5468-5477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Methanol fixed fibroblasts serve as feeder cells to maintain stem cells in the pluripotent state in vitro</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任亚辉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Scientific Reports</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卷:8 期:1 页:7780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characterization of extended-spectrum β-lactamase-producing multidrug resistant Escherichia coli from swine in Northwest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刘晓强</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Frontiers in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卷：9页1756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Molecular characteristics of  extendedspectrum β-lactamase-producing Escherichia coli isolated from the rivers and lakes in Northwest China</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刘海侠</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BMC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卷:18期:125页: 1-12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The kruppel-like factor Dar1 restricts the proliferation of Drosophila intestinal stem cells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武小椿</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Febs Journal</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卷:285期:21页: 3945-3958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329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Cross-species infection of mice by rabbit hepatitis E virus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孙亚妮</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Veterinary Microbiology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卷:225页: 48-52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Bovine uterus-derived exosomes improve developmental competence</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乔芳</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Theriogenology</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114：199-205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Comparison of RNA extraction and microRNA detection protocols</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马晓楠</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Animal Reproduction Science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195：112–120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Tauroursodeoxycholic acid (TUDCA) alleviates endoplasmic reticulum stress of nuclear donor cells under serum starvation</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张颖</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PLoS ONE</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13(5):e0196785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国外刊物</w:t>
            </w:r>
          </w:p>
        </w:tc>
        <w:tc>
          <w:tcPr>
            <w:tcW w:w="1022"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SCI</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333</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西农萨能奶山羊PPARγ基因启动子结构与功能分析</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张雪莹</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 26(7):1203-1212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334</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基于形态学差异探讨秦岭细鳞鲑亚种有效性问题</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蒙彦晓</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水生生物学报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2018年，42卷3期，550-560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335</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氨气和硫化氢应激对肉羊免疫及抗氧化功能的影响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赵天</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2018,49（10）：2191-2204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336</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VEGF对体外培养绒山羊次级毛囊外根鞘细胞的影响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张婧婧</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2018,49（6）：1124-1133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337</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饲用微生物的分离鉴定及其对杏鲍菇菌糠发酵的效果</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高旭红</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微生物学报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2018,58（12）：2110-2122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338</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陕北白绒山羊断奶羔羊钙磷需要量的研究</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王浩</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2018，49（1）：121-130.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339</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温度和相对湿度对山羊生长性能和血液指标的影响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李金朋</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中国农业科学</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2018，51（23）：4556-4574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340</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基于GC-MS代谢组学技术对叶酸调控鸡原代肝细胞代谢的研究</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刘艳利</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2018，49（9）：1919-1927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341</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肉鸡皮大麦表观代谢能预测模型研究</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杜保华</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2018，49（10）：2180-2190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342</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奶山羊成肌细胞体外分离培养及鉴定</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吕明</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2018.26(11):1996-2002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343</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长链非编码RNA在畜禽经济性状中的研究进展</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杨兵</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 49(10):2063-2069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344</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支链氨基酸对哺乳动物蛋白质周转的影响及机理研究进展</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郭龙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 26(6): 995-1003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345</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奶山羊围产期添加烟酰胺对羔羊腹脂脂质代谢的影响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赵会会</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 26(9): 1527-1534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346</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两种油脂水平下DHA强化对饥饿鲤体重及脂代谢的影响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周继术</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水生生物学报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2018年42卷4期：744-750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347</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两种油脂水平下DHA添加对鲤生长及脂质代谢的影响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周继术</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水生生物学报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2018年42卷1期：123-130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348</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EFFECTS OF ARTIFICIAL SUBSTRATES ON THE CARP GROWTH PERFORMANCE AND WATER QUALITY IN PONDS EQUIPPED BY USING A POLY-CULTURE SYSTEM</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周继术</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水生生物学报 （英文版）</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2018年42卷5期：960-968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349</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利用CRISPR/CAS9技术构建山羊乳腺上皮细胞TPH1基因敲除细胞系</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张志飞</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 xml:space="preserve"> 2018, 26(8): 1431-1439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350</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南阳牛ATP5B基因启动子区域多态性与生长性状的关联性研究</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吴森</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2018,09,1535-1545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351</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腺病毒载体介导Smad3基因在秦川牛前体脂肪细胞中的过表达和沉默</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张乐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2018,09,1840-1850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352</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棕色和米色脂肪激活剂:潜在的减肥靶标</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高芸</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中国生物化学与分子生物学报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353</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饲料脂肪水平对匙吻鲟生长、体组成、消化酶活性、血清生化及抗氧化性能的影响</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刘阳洋</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水产学报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2018，42（12）:1900-1916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354</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黑胸散白蚁体内产纤维素酶细菌的筛选及其纤维素酶基因的鉴定与原核表达</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王智伟</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2018,26(08):1275-1287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355</w:t>
            </w:r>
          </w:p>
        </w:tc>
        <w:tc>
          <w:tcPr>
            <w:tcW w:w="2930"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绒山羊毛囊毛乳头细胞体外培养条件的优化</w:t>
            </w:r>
          </w:p>
        </w:tc>
        <w:tc>
          <w:tcPr>
            <w:tcW w:w="953" w:type="dxa"/>
          </w:tcPr>
          <w:p>
            <w:pPr>
              <w:widowControl/>
              <w:jc w:val="center"/>
              <w:textAlignment w:val="top"/>
              <w:rPr>
                <w:rFonts w:ascii="Times New Roman" w:hAnsi="Times New Roman" w:cs="Times New Roman"/>
                <w:kern w:val="0"/>
                <w:sz w:val="18"/>
                <w:szCs w:val="18"/>
              </w:rPr>
            </w:pPr>
            <w:r>
              <w:rPr>
                <w:rFonts w:ascii="Times New Roman" w:hAnsi="Times New Roman" w:cs="Times New Roman"/>
                <w:kern w:val="0"/>
                <w:sz w:val="18"/>
                <w:szCs w:val="18"/>
              </w:rPr>
              <w:t>周雅婷</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2018,26(02):319-329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356</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根瘤共生对紫花苜蓿抗寒性的影响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刘雨诗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26(3):631-637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357</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超声波对镉胁迫鸭茅和冰草种子萌发的影响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见妮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26(2):427-434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358</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混合盐碱胁迫下接种丛枝菌根真菌和根瘤菌对紫花苜蓿生长的影响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刘倩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生态学报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38(17):6143-6155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359</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超声波对3种老化牧草种子萌发和幼苗生长的影响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柳旭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应用生态学报</w:t>
            </w:r>
          </w:p>
        </w:tc>
        <w:tc>
          <w:tcPr>
            <w:tcW w:w="1303" w:type="dxa"/>
            <w:vAlign w:val="center"/>
          </w:tcPr>
          <w:p>
            <w:pPr>
              <w:widowControl/>
              <w:jc w:val="center"/>
              <w:textAlignment w:val="center"/>
              <w:rPr>
                <w:rFonts w:ascii="Times New Roman" w:hAnsi="Times New Roman" w:cs="Times New Roman"/>
                <w:sz w:val="18"/>
                <w:szCs w:val="18"/>
                <w:highlight w:val="red"/>
              </w:rPr>
            </w:pPr>
            <w:r>
              <w:rPr>
                <w:rFonts w:ascii="Times New Roman" w:hAnsi="Times New Roman" w:cs="Times New Roman"/>
                <w:kern w:val="0"/>
                <w:sz w:val="20"/>
                <w:szCs w:val="20"/>
              </w:rPr>
              <w:t>29(6):1857-1866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360</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小尺度下幂乘方模型在天然草地空间分布研究中的应用</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冯兆佳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26(5):1132-1139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20"/>
                <w:szCs w:val="20"/>
              </w:rPr>
              <w:t>外来物种刺槐对黄土丘陵区植物群落功能结构的影响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朱朵菊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应用生态学报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29(2):459-466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20"/>
                <w:szCs w:val="20"/>
              </w:rPr>
              <w:t>渗透胁迫下紫花苜蓿幼苗气孔运动与光合作用的关系</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薛泽民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26(2):420-426</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363</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一种简单有效的非损伤观测根瘤和根系形态的方法</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曾引伟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植物学报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53(5):661-670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364</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CRISPR/Cas9介导CMAH基因敲除猪创制及繁育分析</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黄林华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农业生物技术学报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26(6):1064-1073</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365</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不同外源植物生长物质对柳枝稷种子萌发特性的影响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 xml:space="preserve">何学青 </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26(3):684-690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366</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干旱预处理对一年生黑麦草耐盐性的影响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郭童天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26(2):435-440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367</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根瘤共生对紫花苜蓿抗寒性的影响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薛泽民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26(3):631-637</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368</w:t>
            </w:r>
          </w:p>
        </w:tc>
        <w:tc>
          <w:tcPr>
            <w:tcW w:w="2930" w:type="dxa"/>
            <w:vAlign w:val="center"/>
          </w:tcPr>
          <w:p>
            <w:pPr>
              <w:widowControl/>
              <w:jc w:val="left"/>
              <w:textAlignment w:val="center"/>
              <w:rPr>
                <w:rFonts w:ascii="Times New Roman" w:hAnsi="Times New Roman" w:cs="Times New Roman"/>
                <w:kern w:val="0"/>
                <w:sz w:val="18"/>
                <w:szCs w:val="18"/>
              </w:rPr>
            </w:pPr>
            <w:r>
              <w:rPr>
                <w:rFonts w:ascii="Times New Roman" w:hAnsi="Times New Roman" w:cs="Times New Roman"/>
                <w:kern w:val="0"/>
                <w:sz w:val="20"/>
                <w:szCs w:val="20"/>
              </w:rPr>
              <w:t>超声波对镉胁迫鸭茅和冰草种子萌发的影响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曾引伟 (学)</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草地学报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26(2):427-434</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369</w:t>
            </w:r>
          </w:p>
        </w:tc>
        <w:tc>
          <w:tcPr>
            <w:tcW w:w="2930"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渗透胁迫下紫花苜蓿生长及ABA受体基因的表达</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 xml:space="preserve">薛泽民 (学) </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20"/>
                <w:szCs w:val="20"/>
              </w:rPr>
              <w:t>西北农业学报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eastAsia="仿宋" w:cs="Times New Roman"/>
                <w:kern w:val="0"/>
                <w:sz w:val="20"/>
                <w:szCs w:val="20"/>
              </w:rPr>
              <w:t>27(03):331-338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370</w:t>
            </w:r>
          </w:p>
        </w:tc>
        <w:tc>
          <w:tcPr>
            <w:tcW w:w="2930" w:type="dxa"/>
            <w:vAlign w:val="bottom"/>
          </w:tcPr>
          <w:p>
            <w:pPr>
              <w:widowControl/>
              <w:jc w:val="left"/>
              <w:textAlignment w:val="bottom"/>
              <w:rPr>
                <w:rFonts w:ascii="Times New Roman" w:hAnsi="Times New Roman" w:cs="Times New Roman"/>
                <w:kern w:val="0"/>
                <w:sz w:val="18"/>
                <w:szCs w:val="18"/>
              </w:rPr>
            </w:pPr>
            <w:r>
              <w:rPr>
                <w:rFonts w:ascii="Times New Roman" w:hAnsi="Times New Roman" w:cs="Times New Roman"/>
                <w:kern w:val="0"/>
                <w:sz w:val="20"/>
                <w:szCs w:val="20"/>
              </w:rPr>
              <w:t>人工老化对柳枝稷种子活力和膜透性的影响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20"/>
                <w:szCs w:val="20"/>
              </w:rPr>
              <w:t>王健宇 （学）</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种子</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eastAsia="仿宋" w:cs="Times New Roman"/>
                <w:kern w:val="0"/>
                <w:sz w:val="20"/>
                <w:szCs w:val="20"/>
              </w:rPr>
              <w:t>37(10):6-9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20"/>
                <w:szCs w:val="20"/>
              </w:rPr>
              <w:t>国内重要刊物</w:t>
            </w:r>
          </w:p>
        </w:tc>
        <w:tc>
          <w:tcPr>
            <w:tcW w:w="1022" w:type="dxa"/>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人多能干细胞向红细胞的诱导分化</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王思乐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生物工程学报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卷:34期:6页:983-992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METTL3对猪干细胞多能基因表达的调控作用</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马子玉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生物工程学报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卷:24期:3页:369-378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干扰和稳定表达GP5对猪繁殖与呼吸综合征病毒感染早期复制的影响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宋林林</w:t>
            </w:r>
          </w:p>
        </w:tc>
        <w:tc>
          <w:tcPr>
            <w:tcW w:w="1535"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卷:49期:6页:1231-1240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陕西部分地区秦川牛断奶后犊牛隐孢子虫感染状况</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任冠静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卷:38期:7页:1355-1358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陕西绵羊源蛔虫的鉴定</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范现成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卷:38期:2页:355-358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基于线粒体基因组序列对羊蛔虫的种系发育分析</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牛美容</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卷:38期:，页:154-159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羊吕氏泰勒虫陕西分离株的鉴定及遗传进化分析</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宋军科</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卷:38期:1页:154-159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Novel_miR218对山羊外周血单核细胞中SLAM受体表达的影响</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宋华杰</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卷:49期:11页:2435-2441</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379</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哺乳动物卵母细胞减数分裂纺锤体装配研究进展</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张俊玉</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农业生物技术学报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卷:26期:12页:2150-2159</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猪呼吸道疾病综合征主要致病菌的分离鉴定</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王一涵、 周宏超</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卷:38期:10页:1893-1900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381</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2015年陕西省猪群中4种重要病毒病抗体和病原的检测与分析</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赵紫印、李春燕</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卷:38期:5页:846-852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382</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2006—2015年全国动物炭疽流行分析及防控</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周宇</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卷:38期:2页:336-340</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383</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猪戊型肝炎病毒血清抗体间接ELISA检测方法的建立与应用</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丁军</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畜牧兽医学报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卷:49期:10页:2240-2248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384</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毛序棘豆内生真菌分离鉴定及系统进化分析</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孙璐</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中国畜牧兽医学报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卷:49期:9页:2025-2035</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385</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基于经血源性子宫内膜干细胞的中枢神经系统疾病 治疗的研究进展</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刘蒙蒙</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生物工程学报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卷:34期:5页:644-652</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386</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反向遗传操作技术在呼肠孤病毒中的研究与应用</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汤亚方</w:t>
            </w:r>
          </w:p>
        </w:tc>
        <w:tc>
          <w:tcPr>
            <w:tcW w:w="1535"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病毒学报</w:t>
            </w:r>
          </w:p>
        </w:tc>
        <w:tc>
          <w:tcPr>
            <w:tcW w:w="1303"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卷:33期:6页:950-958</w:t>
            </w:r>
          </w:p>
        </w:tc>
        <w:tc>
          <w:tcPr>
            <w:tcW w:w="897" w:type="dxa"/>
          </w:tcPr>
          <w:p>
            <w:pPr>
              <w:widowControl/>
              <w:jc w:val="center"/>
              <w:textAlignment w:val="top"/>
              <w:rPr>
                <w:rFonts w:ascii="Times New Roman" w:hAnsi="Times New Roman" w:cs="Times New Roman"/>
                <w:sz w:val="18"/>
                <w:szCs w:val="18"/>
              </w:rPr>
            </w:pPr>
            <w:r>
              <w:rPr>
                <w:rFonts w:ascii="Times New Roman" w:hAnsi="Times New Roman" w:cs="Times New Roman"/>
                <w:kern w:val="0"/>
                <w:sz w:val="18"/>
                <w:szCs w:val="18"/>
              </w:rPr>
              <w:t>国内重要刊物</w:t>
            </w:r>
          </w:p>
        </w:tc>
        <w:tc>
          <w:tcPr>
            <w:tcW w:w="1022" w:type="dxa"/>
            <w:vAlign w:val="center"/>
          </w:tcPr>
          <w:p>
            <w:pPr>
              <w:jc w:val="center"/>
              <w:rPr>
                <w:rFonts w:ascii="Times New Roman" w:hAnsi="Times New Roman" w:cs="Times New Roman"/>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387</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动物中毒病学</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路浩</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中国农业出版社</w:t>
            </w:r>
          </w:p>
        </w:tc>
        <w:tc>
          <w:tcPr>
            <w:tcW w:w="1303" w:type="dxa"/>
            <w:vAlign w:val="center"/>
          </w:tcPr>
          <w:p>
            <w:pPr>
              <w:jc w:val="center"/>
              <w:rPr>
                <w:rFonts w:ascii="Times New Roman" w:hAnsi="Times New Roman" w:cs="Times New Roman"/>
                <w:kern w:val="0"/>
                <w:sz w:val="18"/>
                <w:szCs w:val="18"/>
              </w:rPr>
            </w:pPr>
          </w:p>
        </w:tc>
        <w:tc>
          <w:tcPr>
            <w:tcW w:w="897"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lang w:val="en-US" w:eastAsia="zh-CN"/>
              </w:rPr>
              <w:t>中文</w:t>
            </w:r>
            <w:r>
              <w:rPr>
                <w:rFonts w:ascii="Times New Roman" w:hAnsi="Times New Roman" w:cs="Times New Roman"/>
                <w:kern w:val="0"/>
                <w:sz w:val="18"/>
                <w:szCs w:val="18"/>
              </w:rPr>
              <w:t>专著</w:t>
            </w:r>
          </w:p>
        </w:tc>
        <w:tc>
          <w:tcPr>
            <w:tcW w:w="1022" w:type="dxa"/>
            <w:vAlign w:val="center"/>
          </w:tcPr>
          <w:p>
            <w:pPr>
              <w:widowControl/>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388</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动物育种学</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刘小林</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高等教育出版社</w:t>
            </w:r>
          </w:p>
        </w:tc>
        <w:tc>
          <w:tcPr>
            <w:tcW w:w="1303" w:type="dxa"/>
            <w:vAlign w:val="center"/>
          </w:tcPr>
          <w:p>
            <w:pPr>
              <w:jc w:val="center"/>
              <w:rPr>
                <w:rFonts w:ascii="Times New Roman" w:hAnsi="Times New Roman" w:cs="Times New Roman"/>
                <w:kern w:val="0"/>
                <w:sz w:val="18"/>
                <w:szCs w:val="18"/>
              </w:rPr>
            </w:pPr>
          </w:p>
        </w:tc>
        <w:tc>
          <w:tcPr>
            <w:tcW w:w="897"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lang w:val="en-US" w:eastAsia="zh-CN"/>
              </w:rPr>
              <w:t>中文</w:t>
            </w:r>
            <w:r>
              <w:rPr>
                <w:rFonts w:ascii="Times New Roman" w:hAnsi="Times New Roman" w:cs="Times New Roman"/>
                <w:kern w:val="0"/>
                <w:sz w:val="18"/>
                <w:szCs w:val="18"/>
              </w:rPr>
              <w:t>专著</w:t>
            </w:r>
          </w:p>
        </w:tc>
        <w:tc>
          <w:tcPr>
            <w:tcW w:w="1022"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389</w:t>
            </w:r>
          </w:p>
        </w:tc>
        <w:tc>
          <w:tcPr>
            <w:tcW w:w="2930" w:type="dxa"/>
            <w:vAlign w:val="center"/>
          </w:tcPr>
          <w:p>
            <w:pPr>
              <w:widowControl/>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牛生产学</w:t>
            </w:r>
          </w:p>
        </w:tc>
        <w:tc>
          <w:tcPr>
            <w:tcW w:w="953"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昝林森</w:t>
            </w:r>
          </w:p>
        </w:tc>
        <w:tc>
          <w:tcPr>
            <w:tcW w:w="1535"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中国农业出版社</w:t>
            </w:r>
          </w:p>
        </w:tc>
        <w:tc>
          <w:tcPr>
            <w:tcW w:w="1303" w:type="dxa"/>
            <w:vAlign w:val="center"/>
          </w:tcPr>
          <w:p>
            <w:pPr>
              <w:jc w:val="center"/>
              <w:rPr>
                <w:rFonts w:ascii="Times New Roman" w:hAnsi="Times New Roman" w:cs="Times New Roman"/>
                <w:kern w:val="0"/>
                <w:sz w:val="18"/>
                <w:szCs w:val="18"/>
              </w:rPr>
            </w:pPr>
          </w:p>
        </w:tc>
        <w:tc>
          <w:tcPr>
            <w:tcW w:w="897"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lang w:val="en-US" w:eastAsia="zh-CN"/>
              </w:rPr>
              <w:t>中文</w:t>
            </w:r>
            <w:r>
              <w:rPr>
                <w:rFonts w:ascii="Times New Roman" w:hAnsi="Times New Roman" w:cs="Times New Roman"/>
                <w:kern w:val="0"/>
                <w:sz w:val="18"/>
                <w:szCs w:val="18"/>
              </w:rPr>
              <w:t>专著</w:t>
            </w:r>
          </w:p>
        </w:tc>
        <w:tc>
          <w:tcPr>
            <w:tcW w:w="1022"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ascii="Times New Roman" w:hAnsi="Times New Roman" w:cs="Times New Roman"/>
                <w:sz w:val="18"/>
                <w:szCs w:val="18"/>
              </w:rPr>
            </w:pPr>
            <w:r>
              <w:rPr>
                <w:rFonts w:ascii="Times New Roman" w:hAnsi="Times New Roman" w:cs="Times New Roman"/>
                <w:kern w:val="0"/>
                <w:sz w:val="18"/>
                <w:szCs w:val="18"/>
              </w:rPr>
              <w:t>3</w:t>
            </w:r>
            <w:r>
              <w:rPr>
                <w:rFonts w:hint="eastAsia" w:ascii="Times New Roman" w:hAnsi="Times New Roman" w:cs="Times New Roman"/>
                <w:kern w:val="0"/>
                <w:sz w:val="18"/>
                <w:szCs w:val="18"/>
              </w:rPr>
              <w:t>40</w:t>
            </w:r>
          </w:p>
        </w:tc>
        <w:tc>
          <w:tcPr>
            <w:tcW w:w="2930" w:type="dxa"/>
            <w:vAlign w:val="center"/>
          </w:tcPr>
          <w:p>
            <w:pPr>
              <w:widowControl/>
              <w:textAlignment w:val="center"/>
              <w:rPr>
                <w:rFonts w:ascii="Times New Roman" w:hAnsi="Times New Roman" w:cs="Times New Roman"/>
                <w:kern w:val="0"/>
                <w:sz w:val="18"/>
                <w:szCs w:val="18"/>
              </w:rPr>
            </w:pPr>
            <w:r>
              <w:rPr>
                <w:rFonts w:ascii="Times New Roman" w:hAnsi="Times New Roman" w:cs="Times New Roman"/>
                <w:kern w:val="0"/>
                <w:sz w:val="18"/>
                <w:szCs w:val="18"/>
              </w:rPr>
              <w:t>兽医外科手术学实验教程</w:t>
            </w:r>
          </w:p>
        </w:tc>
        <w:tc>
          <w:tcPr>
            <w:tcW w:w="953"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张欣珂、金艺鹏</w:t>
            </w:r>
          </w:p>
        </w:tc>
        <w:tc>
          <w:tcPr>
            <w:tcW w:w="1535" w:type="dxa"/>
            <w:vAlign w:val="center"/>
          </w:tcPr>
          <w:p>
            <w:pPr>
              <w:widowControl/>
              <w:jc w:val="center"/>
              <w:textAlignment w:val="center"/>
              <w:rPr>
                <w:rFonts w:ascii="Times New Roman" w:hAnsi="Times New Roman" w:cs="Times New Roman"/>
                <w:kern w:val="0"/>
                <w:sz w:val="18"/>
                <w:szCs w:val="18"/>
              </w:rPr>
            </w:pPr>
            <w:r>
              <w:rPr>
                <w:rFonts w:ascii="Times New Roman" w:hAnsi="Times New Roman" w:cs="Times New Roman"/>
                <w:kern w:val="0"/>
                <w:sz w:val="18"/>
                <w:szCs w:val="18"/>
              </w:rPr>
              <w:t>中国农业大学出版社</w:t>
            </w:r>
          </w:p>
        </w:tc>
        <w:tc>
          <w:tcPr>
            <w:tcW w:w="1303" w:type="dxa"/>
            <w:vAlign w:val="center"/>
          </w:tcPr>
          <w:p>
            <w:pPr>
              <w:jc w:val="center"/>
              <w:rPr>
                <w:rFonts w:ascii="Times New Roman" w:hAnsi="Times New Roman" w:cs="Times New Roman"/>
                <w:kern w:val="0"/>
                <w:sz w:val="18"/>
                <w:szCs w:val="18"/>
              </w:rPr>
            </w:pPr>
          </w:p>
        </w:tc>
        <w:tc>
          <w:tcPr>
            <w:tcW w:w="897"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lang w:val="en-US" w:eastAsia="zh-CN"/>
              </w:rPr>
              <w:t>中文</w:t>
            </w:r>
            <w:r>
              <w:rPr>
                <w:rFonts w:ascii="Times New Roman" w:hAnsi="Times New Roman" w:cs="Times New Roman"/>
                <w:kern w:val="0"/>
                <w:sz w:val="18"/>
                <w:szCs w:val="18"/>
              </w:rPr>
              <w:t>专著</w:t>
            </w:r>
          </w:p>
        </w:tc>
        <w:tc>
          <w:tcPr>
            <w:tcW w:w="1022"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564" w:type="dxa"/>
            <w:vAlign w:val="center"/>
          </w:tcPr>
          <w:p>
            <w:pPr>
              <w:widowControl/>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341</w:t>
            </w:r>
          </w:p>
        </w:tc>
        <w:tc>
          <w:tcPr>
            <w:tcW w:w="2930" w:type="dxa"/>
            <w:vAlign w:val="center"/>
          </w:tcPr>
          <w:p>
            <w:pPr>
              <w:widowControl/>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牛生产学实习指导</w:t>
            </w:r>
          </w:p>
        </w:tc>
        <w:tc>
          <w:tcPr>
            <w:tcW w:w="953" w:type="dxa"/>
            <w:vAlign w:val="center"/>
          </w:tcPr>
          <w:p>
            <w:pPr>
              <w:widowControl/>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昝林森</w:t>
            </w:r>
          </w:p>
        </w:tc>
        <w:tc>
          <w:tcPr>
            <w:tcW w:w="1535" w:type="dxa"/>
            <w:vAlign w:val="center"/>
          </w:tcPr>
          <w:p>
            <w:pPr>
              <w:widowControl/>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中国农业出版社</w:t>
            </w:r>
          </w:p>
        </w:tc>
        <w:tc>
          <w:tcPr>
            <w:tcW w:w="1303" w:type="dxa"/>
            <w:vAlign w:val="center"/>
          </w:tcPr>
          <w:p>
            <w:pPr>
              <w:jc w:val="center"/>
              <w:rPr>
                <w:rFonts w:ascii="Times New Roman" w:hAnsi="Times New Roman" w:cs="Times New Roman"/>
                <w:kern w:val="0"/>
                <w:sz w:val="18"/>
                <w:szCs w:val="18"/>
              </w:rPr>
            </w:pPr>
          </w:p>
        </w:tc>
        <w:tc>
          <w:tcPr>
            <w:tcW w:w="897" w:type="dxa"/>
            <w:vAlign w:val="center"/>
          </w:tcPr>
          <w:p>
            <w:pPr>
              <w:widowControl/>
              <w:jc w:val="center"/>
              <w:textAlignment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中文</w:t>
            </w:r>
            <w:r>
              <w:rPr>
                <w:rFonts w:ascii="Times New Roman" w:hAnsi="Times New Roman" w:cs="Times New Roman"/>
                <w:kern w:val="0"/>
                <w:sz w:val="18"/>
                <w:szCs w:val="18"/>
              </w:rPr>
              <w:t>专著</w:t>
            </w:r>
          </w:p>
        </w:tc>
        <w:tc>
          <w:tcPr>
            <w:tcW w:w="1022" w:type="dxa"/>
            <w:vAlign w:val="center"/>
          </w:tcPr>
          <w:p>
            <w:pPr>
              <w:widowControl/>
              <w:jc w:val="center"/>
              <w:textAlignment w:val="center"/>
              <w:rPr>
                <w:rFonts w:ascii="Times New Roman" w:hAnsi="Times New Roman" w:cs="Times New Roman"/>
                <w:kern w:val="0"/>
                <w:sz w:val="18"/>
                <w:szCs w:val="18"/>
              </w:rPr>
            </w:pPr>
            <w:r>
              <w:rPr>
                <w:rFonts w:hint="eastAsia" w:ascii="Times New Roman" w:hAnsi="Times New Roman" w:cs="Times New Roman"/>
                <w:kern w:val="0"/>
                <w:sz w:val="18"/>
                <w:szCs w:val="18"/>
              </w:rPr>
              <w:t>合作完成—第一人</w:t>
            </w:r>
          </w:p>
        </w:tc>
      </w:tr>
    </w:tbl>
    <w:p>
      <w:pPr>
        <w:spacing w:beforeLines="50"/>
        <w:ind w:firstLine="480" w:firstLineChars="200"/>
        <w:outlineLvl w:val="0"/>
        <w:rPr>
          <w:rFonts w:ascii="Times New Roman" w:hAnsi="Times New Roman" w:eastAsia="楷体" w:cs="Times New Roman"/>
          <w:color w:val="000000"/>
        </w:rPr>
      </w:pPr>
      <w:r>
        <w:rPr>
          <w:rFonts w:ascii="Times New Roman" w:hAnsi="Times New Roman" w:eastAsia="楷体" w:cs="Times New Roman"/>
          <w:color w:val="000000"/>
        </w:rPr>
        <w:t>注：（1）论文、专著均限于教学研究、学术论文或专著，一般文献综述及一般教材不填报。请将有示范中心署名的论文、专著依次以国外刊物、国内重要刊物，外文专著、中文专著为序分别填报，并在类型栏中标明。单位为篇或册。（2）国外刊物：指在国外正式期刊发表的原始学术论文，国际会议一般论文集论文不予统计。（3）国内重要刊物：指中国科学院文献情报中心建立的中国科学引文数据库(简称CSCD) 核心库来源期刊 (</w:t>
      </w:r>
      <w:r>
        <w:fldChar w:fldCharType="begin"/>
      </w:r>
      <w:r>
        <w:instrText xml:space="preserve"> HYPERLINK "http://www.las.ac.cn" </w:instrText>
      </w:r>
      <w:r>
        <w:fldChar w:fldCharType="separate"/>
      </w:r>
      <w:r>
        <w:rPr>
          <w:rStyle w:val="27"/>
          <w:rFonts w:ascii="Times New Roman" w:hAnsi="Times New Roman" w:eastAsia="楷体" w:cs="Times New Roman"/>
          <w:color w:val="000000"/>
        </w:rPr>
        <w:t>http://www.las.ac.cn</w:t>
      </w:r>
      <w:r>
        <w:rPr>
          <w:rStyle w:val="27"/>
          <w:rFonts w:ascii="Times New Roman" w:hAnsi="Times New Roman" w:eastAsia="楷体" w:cs="Times New Roman"/>
          <w:color w:val="000000"/>
        </w:rPr>
        <w:fldChar w:fldCharType="end"/>
      </w:r>
      <w:r>
        <w:rPr>
          <w:rFonts w:ascii="Times New Roman" w:hAnsi="Times New Roman" w:eastAsia="楷体" w:cs="Times New Roman"/>
          <w:color w:val="000000"/>
        </w:rPr>
        <w:t>), 同时可对国内发行的英文版学术期刊论文进行填报，但不得与中文版期刊同内容的论文重复。（4）外文专著：正式出版的学术著作。（5）中文专著：正式出版的学术著作，不包括译著、实验室年报、论文集等。（6）作者：所有作者，以出版物排序为准。</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3.仪器设备的研制和改装情况</w:t>
      </w:r>
    </w:p>
    <w:tbl>
      <w:tblPr>
        <w:tblStyle w:val="29"/>
        <w:tblW w:w="864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7"/>
        <w:gridCol w:w="1164"/>
        <w:gridCol w:w="2551"/>
        <w:gridCol w:w="1389"/>
        <w:gridCol w:w="1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98" w:hRule="atLeast"/>
          <w:jc w:val="center"/>
        </w:trPr>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141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仪器设</w:t>
            </w:r>
          </w:p>
          <w:p>
            <w:pPr>
              <w:jc w:val="center"/>
              <w:rPr>
                <w:rFonts w:ascii="Times New Roman" w:hAnsi="Times New Roman" w:eastAsia="黑体" w:cs="Times New Roman"/>
                <w:color w:val="000000"/>
              </w:rPr>
            </w:pPr>
            <w:r>
              <w:rPr>
                <w:rFonts w:ascii="Times New Roman" w:hAnsi="Times New Roman" w:eastAsia="黑体" w:cs="Times New Roman"/>
                <w:color w:val="000000"/>
              </w:rPr>
              <w:t>备名称</w:t>
            </w:r>
          </w:p>
        </w:tc>
        <w:tc>
          <w:tcPr>
            <w:tcW w:w="1164"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自制或</w:t>
            </w:r>
          </w:p>
          <w:p>
            <w:pPr>
              <w:jc w:val="center"/>
              <w:rPr>
                <w:rFonts w:ascii="Times New Roman" w:hAnsi="Times New Roman" w:eastAsia="黑体" w:cs="Times New Roman"/>
                <w:color w:val="000000"/>
              </w:rPr>
            </w:pPr>
            <w:r>
              <w:rPr>
                <w:rFonts w:ascii="Times New Roman" w:hAnsi="Times New Roman" w:eastAsia="黑体" w:cs="Times New Roman"/>
                <w:color w:val="000000"/>
              </w:rPr>
              <w:t>改装</w:t>
            </w:r>
          </w:p>
        </w:tc>
        <w:tc>
          <w:tcPr>
            <w:tcW w:w="2551"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开发的功能</w:t>
            </w:r>
          </w:p>
          <w:p>
            <w:pPr>
              <w:jc w:val="center"/>
              <w:rPr>
                <w:rFonts w:ascii="Times New Roman" w:hAnsi="Times New Roman" w:eastAsia="黑体" w:cs="Times New Roman"/>
                <w:color w:val="000000"/>
              </w:rPr>
            </w:pPr>
            <w:r>
              <w:rPr>
                <w:rFonts w:ascii="Times New Roman" w:hAnsi="Times New Roman" w:eastAsia="黑体" w:cs="Times New Roman"/>
                <w:color w:val="000000"/>
              </w:rPr>
              <w:t>和用途</w:t>
            </w:r>
          </w:p>
          <w:p>
            <w:pPr>
              <w:jc w:val="center"/>
              <w:rPr>
                <w:rFonts w:ascii="Times New Roman" w:hAnsi="Times New Roman" w:eastAsia="黑体" w:cs="Times New Roman"/>
                <w:color w:val="000000"/>
              </w:rPr>
            </w:pPr>
            <w:r>
              <w:rPr>
                <w:rFonts w:ascii="Times New Roman" w:hAnsi="Times New Roman" w:eastAsia="黑体" w:cs="Times New Roman"/>
                <w:color w:val="000000"/>
              </w:rPr>
              <w:t>（限100字以内）</w:t>
            </w:r>
          </w:p>
        </w:tc>
        <w:tc>
          <w:tcPr>
            <w:tcW w:w="138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研究成果</w:t>
            </w:r>
          </w:p>
          <w:p>
            <w:pPr>
              <w:jc w:val="center"/>
              <w:rPr>
                <w:rFonts w:ascii="Times New Roman" w:hAnsi="Times New Roman" w:eastAsia="黑体" w:cs="Times New Roman"/>
                <w:color w:val="000000"/>
              </w:rPr>
            </w:pPr>
            <w:r>
              <w:rPr>
                <w:rFonts w:ascii="Times New Roman" w:hAnsi="Times New Roman" w:eastAsia="黑体" w:cs="Times New Roman"/>
                <w:color w:val="000000"/>
              </w:rPr>
              <w:t>（限100字以内）</w:t>
            </w:r>
          </w:p>
        </w:tc>
        <w:tc>
          <w:tcPr>
            <w:tcW w:w="141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709" w:type="dxa"/>
            <w:vAlign w:val="center"/>
          </w:tcPr>
          <w:p>
            <w:pPr>
              <w:jc w:val="center"/>
              <w:rPr>
                <w:rFonts w:ascii="Times New Roman" w:hAnsi="Times New Roman" w:eastAsia="楷体" w:cs="Times New Roman"/>
                <w:color w:val="000000"/>
              </w:rPr>
            </w:pPr>
          </w:p>
        </w:tc>
        <w:tc>
          <w:tcPr>
            <w:tcW w:w="1417" w:type="dxa"/>
            <w:vAlign w:val="center"/>
          </w:tcPr>
          <w:p>
            <w:pPr>
              <w:jc w:val="center"/>
              <w:rPr>
                <w:rFonts w:ascii="Times New Roman" w:hAnsi="Times New Roman" w:eastAsia="楷体" w:cs="Times New Roman"/>
                <w:color w:val="000000"/>
              </w:rPr>
            </w:pPr>
          </w:p>
        </w:tc>
        <w:tc>
          <w:tcPr>
            <w:tcW w:w="1164" w:type="dxa"/>
            <w:vAlign w:val="center"/>
          </w:tcPr>
          <w:p>
            <w:pPr>
              <w:jc w:val="center"/>
              <w:rPr>
                <w:rFonts w:ascii="Times New Roman" w:hAnsi="Times New Roman" w:eastAsia="楷体" w:cs="Times New Roman"/>
                <w:color w:val="000000"/>
              </w:rPr>
            </w:pPr>
          </w:p>
        </w:tc>
        <w:tc>
          <w:tcPr>
            <w:tcW w:w="2551" w:type="dxa"/>
          </w:tcPr>
          <w:p>
            <w:pPr>
              <w:rPr>
                <w:rFonts w:ascii="Times New Roman" w:hAnsi="Times New Roman" w:eastAsia="楷体" w:cs="Times New Roman"/>
                <w:color w:val="000000"/>
              </w:rPr>
            </w:pPr>
          </w:p>
        </w:tc>
        <w:tc>
          <w:tcPr>
            <w:tcW w:w="1389" w:type="dxa"/>
          </w:tcPr>
          <w:p>
            <w:pPr>
              <w:jc w:val="center"/>
              <w:rPr>
                <w:rFonts w:ascii="Times New Roman" w:hAnsi="Times New Roman" w:eastAsia="楷体" w:cs="Times New Roman"/>
                <w:color w:val="000000"/>
              </w:rPr>
            </w:pPr>
          </w:p>
        </w:tc>
        <w:tc>
          <w:tcPr>
            <w:tcW w:w="1417" w:type="dxa"/>
            <w:vAlign w:val="center"/>
          </w:tcPr>
          <w:p>
            <w:pPr>
              <w:jc w:val="center"/>
              <w:rPr>
                <w:rFonts w:ascii="Times New Roman" w:hAnsi="Times New Roman" w:eastAsia="楷体"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7" w:hRule="atLeast"/>
          <w:jc w:val="center"/>
        </w:trPr>
        <w:tc>
          <w:tcPr>
            <w:tcW w:w="709" w:type="dxa"/>
            <w:vAlign w:val="center"/>
          </w:tcPr>
          <w:p>
            <w:pPr>
              <w:jc w:val="center"/>
              <w:rPr>
                <w:rFonts w:ascii="Times New Roman" w:hAnsi="Times New Roman" w:eastAsia="楷体" w:cs="Times New Roman"/>
                <w:color w:val="000000"/>
              </w:rPr>
            </w:pPr>
          </w:p>
        </w:tc>
        <w:tc>
          <w:tcPr>
            <w:tcW w:w="1417" w:type="dxa"/>
          </w:tcPr>
          <w:p>
            <w:pPr>
              <w:jc w:val="center"/>
              <w:rPr>
                <w:rFonts w:ascii="Times New Roman" w:hAnsi="Times New Roman" w:eastAsia="楷体" w:cs="Times New Roman"/>
                <w:color w:val="000000"/>
              </w:rPr>
            </w:pPr>
          </w:p>
        </w:tc>
        <w:tc>
          <w:tcPr>
            <w:tcW w:w="1164" w:type="dxa"/>
          </w:tcPr>
          <w:p>
            <w:pPr>
              <w:jc w:val="center"/>
              <w:rPr>
                <w:rFonts w:ascii="Times New Roman" w:hAnsi="Times New Roman" w:eastAsia="楷体" w:cs="Times New Roman"/>
                <w:color w:val="000000"/>
              </w:rPr>
            </w:pPr>
          </w:p>
        </w:tc>
        <w:tc>
          <w:tcPr>
            <w:tcW w:w="2551" w:type="dxa"/>
          </w:tcPr>
          <w:p>
            <w:pPr>
              <w:rPr>
                <w:rFonts w:ascii="Times New Roman" w:hAnsi="Times New Roman" w:eastAsia="楷体" w:cs="Times New Roman"/>
                <w:color w:val="000000"/>
              </w:rPr>
            </w:pPr>
          </w:p>
        </w:tc>
        <w:tc>
          <w:tcPr>
            <w:tcW w:w="1389" w:type="dxa"/>
          </w:tcPr>
          <w:p>
            <w:pPr>
              <w:jc w:val="center"/>
              <w:rPr>
                <w:rFonts w:ascii="Times New Roman" w:hAnsi="Times New Roman" w:eastAsia="楷体" w:cs="Times New Roman"/>
                <w:color w:val="000000"/>
              </w:rPr>
            </w:pPr>
          </w:p>
        </w:tc>
        <w:tc>
          <w:tcPr>
            <w:tcW w:w="1417" w:type="dxa"/>
          </w:tcPr>
          <w:p>
            <w:pPr>
              <w:jc w:val="center"/>
              <w:rPr>
                <w:rFonts w:ascii="Times New Roman" w:hAnsi="Times New Roman" w:eastAsia="楷体" w:cs="Times New Roman"/>
                <w:color w:val="000000"/>
              </w:rPr>
            </w:pP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注：（1）自制：实验室自行研制的仪器设备。（2）改装：对购置的仪器设备进行改装，赋予其新的功能和用途。（3）研究成果：用新研制或改装的仪器设备进行研究的创新性成果，列举1－2项。</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4.其它成果情况</w:t>
      </w:r>
    </w:p>
    <w:tbl>
      <w:tblPr>
        <w:tblStyle w:val="29"/>
        <w:tblW w:w="8109"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30"/>
        <w:gridCol w:w="37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2" w:hRule="atLeast"/>
          <w:jc w:val="center"/>
        </w:trPr>
        <w:tc>
          <w:tcPr>
            <w:tcW w:w="433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名称</w:t>
            </w:r>
          </w:p>
        </w:tc>
        <w:tc>
          <w:tcPr>
            <w:tcW w:w="377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2" w:hRule="atLeast"/>
          <w:jc w:val="center"/>
        </w:trPr>
        <w:tc>
          <w:tcPr>
            <w:tcW w:w="4330" w:type="dxa"/>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国内会议论文数</w:t>
            </w:r>
          </w:p>
        </w:tc>
        <w:tc>
          <w:tcPr>
            <w:tcW w:w="3779" w:type="dxa"/>
            <w:vAlign w:val="center"/>
          </w:tcPr>
          <w:p>
            <w:pPr>
              <w:jc w:val="center"/>
              <w:rPr>
                <w:rFonts w:ascii="Times New Roman" w:hAnsi="Times New Roman" w:eastAsia="楷体" w:cs="Times New Roman"/>
                <w:color w:val="auto"/>
              </w:rPr>
            </w:pPr>
            <w:r>
              <w:rPr>
                <w:rFonts w:hint="eastAsia" w:ascii="楷体" w:hAnsi="楷体" w:eastAsia="楷体" w:cs="仿宋_GB2312"/>
                <w:color w:val="auto"/>
              </w:rPr>
              <w:t>31篇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4" w:hRule="atLeast"/>
          <w:jc w:val="center"/>
        </w:trPr>
        <w:tc>
          <w:tcPr>
            <w:tcW w:w="4330" w:type="dxa"/>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国际会议论文数</w:t>
            </w:r>
          </w:p>
        </w:tc>
        <w:tc>
          <w:tcPr>
            <w:tcW w:w="3779" w:type="dxa"/>
            <w:vAlign w:val="center"/>
          </w:tcPr>
          <w:p>
            <w:pPr>
              <w:jc w:val="center"/>
              <w:rPr>
                <w:rFonts w:ascii="Times New Roman" w:hAnsi="Times New Roman" w:eastAsia="楷体" w:cs="Times New Roman"/>
                <w:color w:val="auto"/>
              </w:rPr>
            </w:pPr>
            <w:r>
              <w:rPr>
                <w:rFonts w:hint="eastAsia" w:ascii="楷体" w:hAnsi="楷体" w:eastAsia="楷体" w:cs="仿宋_GB2312"/>
                <w:color w:val="auto"/>
              </w:rPr>
              <w:t>8篇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2" w:hRule="atLeast"/>
          <w:jc w:val="center"/>
        </w:trPr>
        <w:tc>
          <w:tcPr>
            <w:tcW w:w="4330" w:type="dxa"/>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国内一般刊物发表论文数</w:t>
            </w:r>
          </w:p>
        </w:tc>
        <w:tc>
          <w:tcPr>
            <w:tcW w:w="3779" w:type="dxa"/>
            <w:vAlign w:val="center"/>
          </w:tcPr>
          <w:p>
            <w:pPr>
              <w:jc w:val="center"/>
              <w:rPr>
                <w:rFonts w:ascii="Times New Roman" w:hAnsi="Times New Roman" w:eastAsia="楷体" w:cs="Times New Roman"/>
                <w:color w:val="auto"/>
              </w:rPr>
            </w:pPr>
            <w:r>
              <w:rPr>
                <w:rFonts w:hint="eastAsia" w:ascii="楷体" w:hAnsi="楷体" w:eastAsia="楷体" w:cs="仿宋_GB2312"/>
                <w:color w:val="auto"/>
              </w:rPr>
              <w:t>182篇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12" w:hRule="atLeast"/>
          <w:jc w:val="center"/>
        </w:trPr>
        <w:tc>
          <w:tcPr>
            <w:tcW w:w="4330" w:type="dxa"/>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省部委奖数</w:t>
            </w:r>
          </w:p>
        </w:tc>
        <w:tc>
          <w:tcPr>
            <w:tcW w:w="3779" w:type="dxa"/>
            <w:vAlign w:val="center"/>
          </w:tcPr>
          <w:p>
            <w:pPr>
              <w:jc w:val="center"/>
              <w:rPr>
                <w:rFonts w:ascii="Times New Roman" w:hAnsi="Times New Roman" w:eastAsia="楷体" w:cs="Times New Roman"/>
                <w:color w:val="auto"/>
              </w:rPr>
            </w:pPr>
            <w:r>
              <w:rPr>
                <w:rFonts w:hint="eastAsia" w:ascii="楷体" w:hAnsi="楷体" w:eastAsia="楷体" w:cs="仿宋_GB2312"/>
                <w:color w:val="auto"/>
              </w:rPr>
              <w:t>7项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0" w:hRule="atLeast"/>
          <w:jc w:val="center"/>
        </w:trPr>
        <w:tc>
          <w:tcPr>
            <w:tcW w:w="4330" w:type="dxa"/>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其它奖数</w:t>
            </w:r>
          </w:p>
        </w:tc>
        <w:tc>
          <w:tcPr>
            <w:tcW w:w="3779" w:type="dxa"/>
            <w:vAlign w:val="center"/>
          </w:tcPr>
          <w:p>
            <w:pPr>
              <w:jc w:val="center"/>
              <w:rPr>
                <w:rFonts w:ascii="Times New Roman" w:hAnsi="Times New Roman" w:eastAsia="楷体" w:cs="Times New Roman"/>
                <w:color w:val="auto"/>
              </w:rPr>
            </w:pPr>
            <w:r>
              <w:rPr>
                <w:rFonts w:hint="eastAsia" w:ascii="楷体" w:hAnsi="楷体" w:eastAsia="楷体" w:cs="仿宋_GB2312"/>
                <w:color w:val="auto"/>
              </w:rPr>
              <w:t>35项</w:t>
            </w: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注：国内一般刊物：除CSCD核心库来源期刊以外的其它国内刊物，只填报原始论文。</w:t>
      </w:r>
    </w:p>
    <w:p>
      <w:pPr>
        <w:ind w:firstLine="627" w:firstLineChars="196"/>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四、人才队伍基本情况</w:t>
      </w:r>
    </w:p>
    <w:p>
      <w:pPr>
        <w:spacing w:beforeLines="50" w:afterLines="50"/>
        <w:ind w:firstLine="560" w:firstLineChars="200"/>
        <w:rPr>
          <w:rFonts w:ascii="Times New Roman" w:hAnsi="Times New Roman" w:eastAsia="黑体" w:cs="Times New Roman"/>
          <w:b/>
          <w:bCs/>
          <w:color w:val="000000"/>
          <w:sz w:val="28"/>
          <w:szCs w:val="28"/>
        </w:rPr>
      </w:pPr>
      <w:r>
        <w:rPr>
          <w:rFonts w:ascii="Times New Roman" w:hAnsi="Times New Roman" w:eastAsia="黑体" w:cs="Times New Roman"/>
          <w:color w:val="000000"/>
          <w:sz w:val="28"/>
          <w:szCs w:val="28"/>
        </w:rPr>
        <w:t>（一）本年度固定人员情况</w:t>
      </w:r>
    </w:p>
    <w:tbl>
      <w:tblPr>
        <w:tblStyle w:val="29"/>
        <w:tblW w:w="8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28"/>
        <w:gridCol w:w="1079"/>
        <w:gridCol w:w="711"/>
        <w:gridCol w:w="746"/>
        <w:gridCol w:w="1019"/>
        <w:gridCol w:w="1078"/>
        <w:gridCol w:w="1078"/>
        <w:gridCol w:w="714"/>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序号</w:t>
            </w:r>
          </w:p>
        </w:tc>
        <w:tc>
          <w:tcPr>
            <w:tcW w:w="1079"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姓名</w:t>
            </w:r>
          </w:p>
        </w:tc>
        <w:tc>
          <w:tcPr>
            <w:tcW w:w="711"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性别</w:t>
            </w:r>
          </w:p>
        </w:tc>
        <w:tc>
          <w:tcPr>
            <w:tcW w:w="746"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出生年份</w:t>
            </w:r>
          </w:p>
        </w:tc>
        <w:tc>
          <w:tcPr>
            <w:tcW w:w="1019"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职称</w:t>
            </w:r>
          </w:p>
        </w:tc>
        <w:tc>
          <w:tcPr>
            <w:tcW w:w="1078"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职务</w:t>
            </w:r>
          </w:p>
        </w:tc>
        <w:tc>
          <w:tcPr>
            <w:tcW w:w="1078"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工作性质</w:t>
            </w:r>
          </w:p>
        </w:tc>
        <w:tc>
          <w:tcPr>
            <w:tcW w:w="714"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学位</w:t>
            </w:r>
          </w:p>
        </w:tc>
        <w:tc>
          <w:tcPr>
            <w:tcW w:w="1227" w:type="dxa"/>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陈玉林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姚军虎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中心主任</w:t>
            </w: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罗军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r>
              <w:rPr>
                <w:rFonts w:hint="eastAsia" w:ascii="宋体" w:hAnsi="宋体" w:cs="宋体"/>
                <w:color w:val="000000"/>
                <w:sz w:val="22"/>
                <w:szCs w:val="22"/>
              </w:rPr>
              <w:t>副校长</w:t>
            </w: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孙超</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副主任</w:t>
            </w: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曾文先</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曹斌云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庞卫军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陈俊</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孙世铎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王佺珍</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王昕</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王高学</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胡建宏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吉红</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李青旺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蓝贤勇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雷初朝</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呼天明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杨公社</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昝林森</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杨小军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张智英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郑惠玲</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刘小林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王在照</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姜雨</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吴江维</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刘福柱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MARTIN PLATH</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史怀平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凌飞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龚月生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张恩平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董武子</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潘传英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孙青竹</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杨培志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党瑞华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宋宇轩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徐秀容</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王立新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魏泽辉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杨雨鑫</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张建勤</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辛亚平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王洪宝</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刘海侠</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闵育娜</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江中良</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高景慧</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孙秀柱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王小龙</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史新娥</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曹阳春</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薛虎平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刘金隆</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朱斌</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龙明秀</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孙小琴</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寇建村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杨云贵</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杨明明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许岳飞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赵春平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王哲鹏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杨欣</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安小鹏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杨武才</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田秀娥</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王永军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任战军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本科</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张慧林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本科</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牛竹叶</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本科</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贾存灵</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李安宁</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王喜宏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徐坤</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周继术</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李晓</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黄永震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陈文青</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86</w:t>
            </w:r>
          </w:p>
        </w:tc>
        <w:tc>
          <w:tcPr>
            <w:tcW w:w="107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王永亮</w:t>
            </w:r>
          </w:p>
        </w:tc>
        <w:tc>
          <w:tcPr>
            <w:tcW w:w="711"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张国</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吴朗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陈知龙</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李杨</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王建刚</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何学青</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熊冬梅</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何树斌</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王淑辉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褚瑰燕</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席杰军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李聪</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于太永</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孙娈姿</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于海波</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蔡传江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杨朝霞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段玉兰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武永厚</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本科</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付娟娟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刘丕龙</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1990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任周正</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1988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111</w:t>
            </w:r>
          </w:p>
        </w:tc>
        <w:tc>
          <w:tcPr>
            <w:tcW w:w="107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郑以</w:t>
            </w:r>
          </w:p>
        </w:tc>
        <w:tc>
          <w:tcPr>
            <w:tcW w:w="711"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1988</w:t>
            </w:r>
          </w:p>
        </w:tc>
        <w:tc>
          <w:tcPr>
            <w:tcW w:w="101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112</w:t>
            </w:r>
          </w:p>
        </w:tc>
        <w:tc>
          <w:tcPr>
            <w:tcW w:w="107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邵俊杰</w:t>
            </w:r>
          </w:p>
        </w:tc>
        <w:tc>
          <w:tcPr>
            <w:tcW w:w="711"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jc w:val="center"/>
        </w:trPr>
        <w:tc>
          <w:tcPr>
            <w:tcW w:w="72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113</w:t>
            </w:r>
          </w:p>
        </w:tc>
        <w:tc>
          <w:tcPr>
            <w:tcW w:w="107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雷新建</w:t>
            </w:r>
          </w:p>
        </w:tc>
        <w:tc>
          <w:tcPr>
            <w:tcW w:w="711"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1988</w:t>
            </w:r>
          </w:p>
        </w:tc>
        <w:tc>
          <w:tcPr>
            <w:tcW w:w="101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讲师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114</w:t>
            </w:r>
          </w:p>
        </w:tc>
        <w:tc>
          <w:tcPr>
            <w:tcW w:w="107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苏利红</w:t>
            </w:r>
          </w:p>
        </w:tc>
        <w:tc>
          <w:tcPr>
            <w:tcW w:w="711"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高级实验师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学士</w:t>
            </w:r>
          </w:p>
        </w:tc>
        <w:tc>
          <w:tcPr>
            <w:tcW w:w="1227" w:type="dxa"/>
            <w:vAlign w:val="center"/>
          </w:tcPr>
          <w:p>
            <w:pPr>
              <w:jc w:val="center"/>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马志科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胡沈荣</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曹雨莉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王立强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刘瑞芳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赵丽丽</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查永安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高级工</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jc w:val="center"/>
              <w:rPr>
                <w:rFonts w:ascii="宋体" w:hAnsi="宋体" w:cs="宋体"/>
                <w:color w:val="000000"/>
                <w:sz w:val="22"/>
                <w:szCs w:val="22"/>
              </w:rPr>
            </w:pP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李芳红</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jc w:val="center"/>
              <w:rPr>
                <w:rFonts w:ascii="宋体" w:hAnsi="宋体" w:cs="宋体"/>
                <w:color w:val="000000"/>
                <w:sz w:val="22"/>
                <w:szCs w:val="22"/>
              </w:rPr>
            </w:pP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张宝林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高级工</w:t>
            </w:r>
          </w:p>
        </w:tc>
        <w:tc>
          <w:tcPr>
            <w:tcW w:w="1078" w:type="dxa"/>
            <w:vAlign w:val="center"/>
          </w:tcPr>
          <w:p>
            <w:pPr>
              <w:jc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实验技术</w:t>
            </w:r>
          </w:p>
        </w:tc>
        <w:tc>
          <w:tcPr>
            <w:tcW w:w="714" w:type="dxa"/>
            <w:vAlign w:val="center"/>
          </w:tcPr>
          <w:p>
            <w:pPr>
              <w:jc w:val="center"/>
              <w:rPr>
                <w:rFonts w:ascii="宋体" w:hAnsi="宋体" w:cs="宋体"/>
                <w:color w:val="000000"/>
                <w:sz w:val="22"/>
                <w:szCs w:val="22"/>
              </w:rPr>
            </w:pPr>
          </w:p>
        </w:tc>
        <w:tc>
          <w:tcPr>
            <w:tcW w:w="1227" w:type="dxa"/>
            <w:vAlign w:val="center"/>
          </w:tcPr>
          <w:p>
            <w:pPr>
              <w:jc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陈德坤</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乔海莲</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赵慧英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张淼涛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张德礼</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林青</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张翊华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马保华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杨增岐</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童德文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张文龙</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张淑霞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张涌</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路浩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郑月茂</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卿素珠</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穆杨</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欧阳五庆</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彭莎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齐雪峰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宋晓平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徐永平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许信刚</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王晶钰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武浩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胥耀平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郭泽坤</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王华岩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李新平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李勤凡</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雷安民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华进联</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华松</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李引乾</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赵晓娥</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周宏超</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张彦明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赵宝玉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魏强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高明清</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殷玉鹏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萧飒</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杜恩岐</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肖书奇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刘迎秋</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马文涛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刘海金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汤海洋</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张仕强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张琪</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朱晓岩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邱立</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吕长荣</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高级兽医师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宋军科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王爱华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丛日华</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刘晓强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郭抗抗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姜艳芬</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靳亚平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赵晓民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张为民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董强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林鹏飞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赵光辉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汤克琼</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邢福珊</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卢德章</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孙亚妮</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赵钦</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张欣珂</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王妍</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王勇胜</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周恩民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王兴龙</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杜涛峰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范云鹏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吴晨晨</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王建国</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麻武仁</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高元鹏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1990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周栋</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苏建民</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陈华涛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李贤</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刘旭</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贺花</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杜谦</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米铁军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常玲玲</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陆征</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刘腾飞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李娜</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武春燕</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郭文平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黄勇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张小莺</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权富生</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王承宝</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贺鑫</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研究实习员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南雨辰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博士</w:t>
            </w:r>
          </w:p>
        </w:tc>
        <w:tc>
          <w:tcPr>
            <w:tcW w:w="1227" w:type="dxa"/>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陈树林</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程捍卫</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王秋丽</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刘刚进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张国士</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高级兽医师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杨鸣琦</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蒿彩菊</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周婷</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赵献军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李爽</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宫晓文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付明哲</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1970</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王丹</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1990</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武永杰</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李慧兵</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农艺师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马琳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1985</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伊岚</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1966</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耿果霞</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叶月丹</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1988</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讲师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副编审</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李艳芳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农艺师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邹春</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1983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助教</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张永第</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助理研究员</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硕士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马新武</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1961</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副教授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教学</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白涛</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高级兽医师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魏揀选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1964</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高级兽医师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党如意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黄建文</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1969</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编辑</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学士</w:t>
            </w: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高志敏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1962</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刘卫斌</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1974</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张联利</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260</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权中会</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高级实验师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261</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柴勇辉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1959</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262</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陈青</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1967</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263</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吴远平</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1965</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264</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吉春红</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1968</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265</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李蓉</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女性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1973</w:t>
            </w:r>
          </w:p>
        </w:tc>
        <w:tc>
          <w:tcPr>
            <w:tcW w:w="101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实验师</w:t>
            </w: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技术</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266</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李创宏</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1971</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267</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韩晓良</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268</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王志东</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1972</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管理</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6" w:hRule="atLeast"/>
          <w:jc w:val="center"/>
        </w:trPr>
        <w:tc>
          <w:tcPr>
            <w:tcW w:w="72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rPr>
              <w:t>269</w:t>
            </w:r>
          </w:p>
        </w:tc>
        <w:tc>
          <w:tcPr>
            <w:tcW w:w="1079"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徐守一</w:t>
            </w:r>
          </w:p>
        </w:tc>
        <w:tc>
          <w:tcPr>
            <w:tcW w:w="711"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男性</w:t>
            </w:r>
          </w:p>
        </w:tc>
        <w:tc>
          <w:tcPr>
            <w:tcW w:w="746"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1963</w:t>
            </w:r>
          </w:p>
        </w:tc>
        <w:tc>
          <w:tcPr>
            <w:tcW w:w="1019"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p>
        </w:tc>
        <w:tc>
          <w:tcPr>
            <w:tcW w:w="1078" w:type="dxa"/>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其他</w:t>
            </w:r>
          </w:p>
        </w:tc>
        <w:tc>
          <w:tcPr>
            <w:tcW w:w="714" w:type="dxa"/>
            <w:vAlign w:val="center"/>
          </w:tcPr>
          <w:p>
            <w:pPr>
              <w:widowControl/>
              <w:jc w:val="center"/>
              <w:textAlignment w:val="center"/>
              <w:rPr>
                <w:rFonts w:ascii="宋体" w:hAnsi="宋体" w:cs="宋体"/>
                <w:color w:val="000000"/>
                <w:sz w:val="22"/>
                <w:szCs w:val="22"/>
              </w:rPr>
            </w:pPr>
          </w:p>
        </w:tc>
        <w:tc>
          <w:tcPr>
            <w:tcW w:w="1227" w:type="dxa"/>
            <w:vAlign w:val="center"/>
          </w:tcPr>
          <w:p>
            <w:pPr>
              <w:widowControl/>
              <w:jc w:val="center"/>
              <w:textAlignment w:val="center"/>
              <w:rPr>
                <w:rFonts w:ascii="宋体" w:hAnsi="宋体" w:cs="宋体"/>
                <w:color w:val="000000"/>
                <w:sz w:val="22"/>
                <w:szCs w:val="22"/>
              </w:rPr>
            </w:pP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1）固定人员：指经过核定的属于示范中心编制的人员。（2）示范中心职务：示范中心主任、副主任。（3）工作性质：教学、技术、管理、其它，从事研究工作的兼职管理人员其工作性质为研究。（4）学位：博士、硕士、学士、其它，一般以学位证书为准。“文革”前毕业的研究生统计为硕士，“文革”前毕业的本科生统计为学士。（5）备注：是否院士、博士生导师、杰出青年基金获得者、长江学者等，获得时间。</w:t>
      </w:r>
    </w:p>
    <w:p>
      <w:pPr>
        <w:spacing w:beforeLines="50" w:after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（二）本年度流动人员情况</w:t>
      </w:r>
    </w:p>
    <w:tbl>
      <w:tblPr>
        <w:tblStyle w:val="29"/>
        <w:tblW w:w="9145" w:type="dxa"/>
        <w:tblInd w:w="-106"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923"/>
        <w:gridCol w:w="709"/>
        <w:gridCol w:w="1275"/>
        <w:gridCol w:w="709"/>
        <w:gridCol w:w="709"/>
        <w:gridCol w:w="1701"/>
        <w:gridCol w:w="850"/>
        <w:gridCol w:w="1560"/>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09" w:type="dxa"/>
            <w:tcBorders>
              <w:left w:val="single" w:color="auto" w:sz="6"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923"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姓名</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性别</w:t>
            </w:r>
          </w:p>
        </w:tc>
        <w:tc>
          <w:tcPr>
            <w:tcW w:w="127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出生年份</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职称</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国别</w:t>
            </w:r>
          </w:p>
        </w:tc>
        <w:tc>
          <w:tcPr>
            <w:tcW w:w="1701"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工作单位</w:t>
            </w:r>
          </w:p>
        </w:tc>
        <w:tc>
          <w:tcPr>
            <w:tcW w:w="850" w:type="dxa"/>
            <w:tcBorders>
              <w:left w:val="single" w:color="auto" w:sz="4" w:space="0"/>
              <w:right w:val="single" w:color="auto" w:sz="4"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类型</w:t>
            </w:r>
          </w:p>
        </w:tc>
        <w:tc>
          <w:tcPr>
            <w:tcW w:w="1560" w:type="dxa"/>
            <w:tcBorders>
              <w:left w:val="single" w:color="auto" w:sz="4" w:space="0"/>
              <w:right w:val="single" w:color="auto" w:sz="6"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28" w:hRule="atLeast"/>
        </w:trPr>
        <w:tc>
          <w:tcPr>
            <w:tcW w:w="709" w:type="dxa"/>
            <w:tcBorders>
              <w:lef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1</w:t>
            </w:r>
          </w:p>
        </w:tc>
        <w:tc>
          <w:tcPr>
            <w:tcW w:w="923" w:type="dxa"/>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石光达</w:t>
            </w:r>
          </w:p>
        </w:tc>
        <w:tc>
          <w:tcPr>
            <w:tcW w:w="709" w:type="dxa"/>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1987</w:t>
            </w:r>
          </w:p>
        </w:tc>
        <w:tc>
          <w:tcPr>
            <w:tcW w:w="709" w:type="dxa"/>
            <w:vAlign w:val="center"/>
          </w:tcPr>
          <w:p>
            <w:pPr>
              <w:jc w:val="center"/>
              <w:rPr>
                <w:rFonts w:ascii="宋体" w:hAnsi="宋体" w:cs="宋体"/>
                <w:color w:val="000000"/>
                <w:sz w:val="21"/>
                <w:szCs w:val="28"/>
              </w:rPr>
            </w:pPr>
          </w:p>
        </w:tc>
        <w:tc>
          <w:tcPr>
            <w:tcW w:w="709" w:type="dxa"/>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国邦集团新昌和宝生物有限公司</w:t>
            </w:r>
          </w:p>
        </w:tc>
        <w:tc>
          <w:tcPr>
            <w:tcW w:w="850" w:type="dxa"/>
            <w:tcBorders>
              <w:left w:val="single" w:color="auto" w:sz="4" w:space="0"/>
              <w:right w:val="single" w:color="auto" w:sz="4"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right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w:t>
            </w:r>
          </w:p>
        </w:tc>
        <w:tc>
          <w:tcPr>
            <w:tcW w:w="923"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李鹏华</w:t>
            </w: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1985</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陕西石羊（集团）股份有限公司</w:t>
            </w:r>
          </w:p>
        </w:tc>
        <w:tc>
          <w:tcPr>
            <w:tcW w:w="850" w:type="dxa"/>
            <w:tcBorders>
              <w:left w:val="single" w:color="auto" w:sz="4" w:space="0"/>
              <w:bottom w:val="single" w:color="auto" w:sz="6" w:space="0"/>
              <w:right w:val="single" w:color="auto" w:sz="4"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3</w:t>
            </w:r>
          </w:p>
        </w:tc>
        <w:tc>
          <w:tcPr>
            <w:tcW w:w="923"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刘彦来</w:t>
            </w: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1980</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广西扬翔股份有限公司</w:t>
            </w:r>
          </w:p>
        </w:tc>
        <w:tc>
          <w:tcPr>
            <w:tcW w:w="850" w:type="dxa"/>
            <w:tcBorders>
              <w:left w:val="single" w:color="auto" w:sz="4" w:space="0"/>
              <w:bottom w:val="single" w:color="auto" w:sz="6" w:space="0"/>
              <w:right w:val="single" w:color="auto" w:sz="4"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4</w:t>
            </w:r>
          </w:p>
        </w:tc>
        <w:tc>
          <w:tcPr>
            <w:tcW w:w="923"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张婷</w:t>
            </w: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女</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1978</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西安禾丰饲料科技有限公司</w:t>
            </w:r>
          </w:p>
        </w:tc>
        <w:tc>
          <w:tcPr>
            <w:tcW w:w="850" w:type="dxa"/>
            <w:tcBorders>
              <w:left w:val="single" w:color="auto" w:sz="4" w:space="0"/>
              <w:bottom w:val="single" w:color="auto" w:sz="6" w:space="0"/>
              <w:right w:val="single" w:color="auto" w:sz="4"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5</w:t>
            </w:r>
          </w:p>
        </w:tc>
        <w:tc>
          <w:tcPr>
            <w:tcW w:w="923"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王浩斌</w:t>
            </w: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1992</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牧源食品有限公司</w:t>
            </w:r>
          </w:p>
        </w:tc>
        <w:tc>
          <w:tcPr>
            <w:tcW w:w="850" w:type="dxa"/>
            <w:tcBorders>
              <w:left w:val="single" w:color="auto" w:sz="4" w:space="0"/>
              <w:bottom w:val="single" w:color="auto" w:sz="6" w:space="0"/>
              <w:right w:val="single" w:color="auto" w:sz="4"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spacing w:before="100" w:beforeAutospacing="1" w:after="100" w:afterAutospacing="1"/>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6</w:t>
            </w:r>
          </w:p>
        </w:tc>
        <w:tc>
          <w:tcPr>
            <w:tcW w:w="923"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颜培根</w:t>
            </w: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1988</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北京华都峪口禽业有限责任公司</w:t>
            </w:r>
          </w:p>
        </w:tc>
        <w:tc>
          <w:tcPr>
            <w:tcW w:w="850" w:type="dxa"/>
            <w:tcBorders>
              <w:left w:val="single" w:color="auto" w:sz="4" w:space="0"/>
              <w:bottom w:val="single" w:color="auto" w:sz="6" w:space="0"/>
              <w:right w:val="single" w:color="auto" w:sz="4"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7</w:t>
            </w:r>
          </w:p>
        </w:tc>
        <w:tc>
          <w:tcPr>
            <w:tcW w:w="923"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陈冠羽</w:t>
            </w: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1990</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恒天然醇源牧场有限公司</w:t>
            </w:r>
          </w:p>
        </w:tc>
        <w:tc>
          <w:tcPr>
            <w:tcW w:w="850" w:type="dxa"/>
            <w:tcBorders>
              <w:left w:val="single" w:color="auto" w:sz="4" w:space="0"/>
              <w:bottom w:val="single" w:color="auto" w:sz="6" w:space="0"/>
              <w:right w:val="single" w:color="auto" w:sz="4"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8</w:t>
            </w:r>
          </w:p>
        </w:tc>
        <w:tc>
          <w:tcPr>
            <w:tcW w:w="923"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何猷松</w:t>
            </w: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1993</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辉山乳业控股有限公司</w:t>
            </w:r>
          </w:p>
        </w:tc>
        <w:tc>
          <w:tcPr>
            <w:tcW w:w="850" w:type="dxa"/>
            <w:tcBorders>
              <w:left w:val="single" w:color="auto" w:sz="4" w:space="0"/>
              <w:bottom w:val="single" w:color="auto" w:sz="6" w:space="0"/>
              <w:right w:val="single" w:color="auto" w:sz="4"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9</w:t>
            </w:r>
          </w:p>
        </w:tc>
        <w:tc>
          <w:tcPr>
            <w:tcW w:w="923"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刘阳</w:t>
            </w: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1992</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广州利洋水产科技股份有限公司</w:t>
            </w:r>
          </w:p>
        </w:tc>
        <w:tc>
          <w:tcPr>
            <w:tcW w:w="850" w:type="dxa"/>
            <w:tcBorders>
              <w:left w:val="single" w:color="auto" w:sz="4" w:space="0"/>
              <w:bottom w:val="single" w:color="auto" w:sz="6" w:space="0"/>
              <w:right w:val="single" w:color="auto" w:sz="4"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2016-2020</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709" w:type="dxa"/>
            <w:tcBorders>
              <w:left w:val="single" w:color="auto" w:sz="6" w:space="0"/>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10</w:t>
            </w:r>
          </w:p>
        </w:tc>
        <w:tc>
          <w:tcPr>
            <w:tcW w:w="923"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黄海涛</w:t>
            </w: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男</w:t>
            </w:r>
          </w:p>
        </w:tc>
        <w:tc>
          <w:tcPr>
            <w:tcW w:w="1275" w:type="dxa"/>
            <w:tcBorders>
              <w:bottom w:val="single" w:color="auto" w:sz="6" w:space="0"/>
            </w:tcBorders>
            <w:vAlign w:val="center"/>
          </w:tcPr>
          <w:p>
            <w:pPr>
              <w:keepNext w:val="0"/>
              <w:keepLines w:val="0"/>
              <w:widowControl/>
              <w:suppressLineNumbers w:val="0"/>
              <w:jc w:val="left"/>
              <w:textAlignment w:val="center"/>
              <w:rPr>
                <w:rFonts w:ascii="宋体" w:hAnsi="宋体" w:cs="宋体"/>
                <w:color w:val="000000"/>
                <w:sz w:val="21"/>
                <w:szCs w:val="28"/>
              </w:rPr>
            </w:pPr>
            <w:r>
              <w:rPr>
                <w:rFonts w:hint="eastAsia" w:ascii="宋体" w:hAnsi="宋体" w:eastAsia="宋体" w:cs="宋体"/>
                <w:i w:val="0"/>
                <w:color w:val="000000"/>
                <w:kern w:val="0"/>
                <w:sz w:val="22"/>
                <w:szCs w:val="22"/>
                <w:u w:val="none"/>
                <w:lang w:val="en-US" w:eastAsia="zh-CN" w:bidi="ar"/>
              </w:rPr>
              <w:t>1991</w:t>
            </w:r>
          </w:p>
        </w:tc>
        <w:tc>
          <w:tcPr>
            <w:tcW w:w="709" w:type="dxa"/>
            <w:tcBorders>
              <w:bottom w:val="single" w:color="auto" w:sz="6" w:space="0"/>
            </w:tcBorders>
            <w:vAlign w:val="center"/>
          </w:tcPr>
          <w:p>
            <w:pPr>
              <w:jc w:val="center"/>
              <w:rPr>
                <w:rFonts w:ascii="宋体" w:hAnsi="宋体" w:cs="宋体"/>
                <w:color w:val="000000"/>
                <w:sz w:val="21"/>
                <w:szCs w:val="28"/>
              </w:rPr>
            </w:pPr>
          </w:p>
        </w:tc>
        <w:tc>
          <w:tcPr>
            <w:tcW w:w="709"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中国</w:t>
            </w:r>
          </w:p>
        </w:tc>
        <w:tc>
          <w:tcPr>
            <w:tcW w:w="1701" w:type="dxa"/>
            <w:tcBorders>
              <w:bottom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广东恒兴饲料实业股份有限公司</w:t>
            </w:r>
          </w:p>
        </w:tc>
        <w:tc>
          <w:tcPr>
            <w:tcW w:w="850" w:type="dxa"/>
            <w:tcBorders>
              <w:left w:val="single" w:color="auto" w:sz="4" w:space="0"/>
              <w:bottom w:val="single" w:color="auto" w:sz="6" w:space="0"/>
              <w:right w:val="single" w:color="auto" w:sz="4"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其他</w:t>
            </w:r>
          </w:p>
        </w:tc>
        <w:tc>
          <w:tcPr>
            <w:tcW w:w="1560" w:type="dxa"/>
            <w:tcBorders>
              <w:left w:val="single" w:color="auto" w:sz="4" w:space="0"/>
              <w:bottom w:val="single" w:color="auto" w:sz="6" w:space="0"/>
              <w:right w:val="single" w:color="auto" w:sz="6" w:space="0"/>
            </w:tcBorders>
            <w:vAlign w:val="center"/>
          </w:tcPr>
          <w:p>
            <w:pPr>
              <w:jc w:val="center"/>
              <w:rPr>
                <w:rFonts w:ascii="宋体" w:hAnsi="宋体" w:cs="宋体"/>
                <w:color w:val="000000"/>
                <w:sz w:val="21"/>
                <w:szCs w:val="28"/>
              </w:rPr>
            </w:pPr>
            <w:r>
              <w:rPr>
                <w:rFonts w:hint="eastAsia" w:ascii="宋体" w:hAnsi="宋体" w:cs="宋体"/>
                <w:color w:val="000000"/>
                <w:sz w:val="21"/>
                <w:szCs w:val="28"/>
              </w:rPr>
              <w:t>2016-2020</w:t>
            </w: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注：（1）流动人员：包括“访问学者和其他”两种类型。（2）工作期限：在示范中心工作的协议起止时间。</w:t>
      </w:r>
    </w:p>
    <w:p>
      <w:pPr>
        <w:spacing w:beforeLines="50" w:after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（三）本年度教学指导委员会人员情况</w:t>
      </w:r>
      <w:r>
        <w:rPr>
          <w:rFonts w:ascii="Times New Roman" w:hAnsi="Times New Roman" w:eastAsia="楷体" w:cs="Times New Roman"/>
          <w:color w:val="000000"/>
          <w:sz w:val="28"/>
          <w:szCs w:val="28"/>
        </w:rPr>
        <w:t>（2016年12月31日前没有成立的可以不填）</w:t>
      </w:r>
    </w:p>
    <w:tbl>
      <w:tblPr>
        <w:tblStyle w:val="29"/>
        <w:tblW w:w="9257" w:type="dxa"/>
        <w:jc w:val="center"/>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065"/>
        <w:gridCol w:w="709"/>
        <w:gridCol w:w="1275"/>
        <w:gridCol w:w="709"/>
        <w:gridCol w:w="709"/>
        <w:gridCol w:w="708"/>
        <w:gridCol w:w="1276"/>
        <w:gridCol w:w="879"/>
        <w:gridCol w:w="121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PrEx>
        <w:trPr>
          <w:jc w:val="center"/>
        </w:trPr>
        <w:tc>
          <w:tcPr>
            <w:tcW w:w="709" w:type="dxa"/>
            <w:tcBorders>
              <w:left w:val="single" w:color="auto" w:sz="6"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106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姓名</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性别</w:t>
            </w:r>
          </w:p>
        </w:tc>
        <w:tc>
          <w:tcPr>
            <w:tcW w:w="127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出生年份</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职称</w:t>
            </w:r>
          </w:p>
        </w:tc>
        <w:tc>
          <w:tcPr>
            <w:tcW w:w="70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职务</w:t>
            </w:r>
          </w:p>
        </w:tc>
        <w:tc>
          <w:tcPr>
            <w:tcW w:w="708"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国别</w:t>
            </w:r>
          </w:p>
        </w:tc>
        <w:tc>
          <w:tcPr>
            <w:tcW w:w="1276"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工作单位</w:t>
            </w:r>
          </w:p>
        </w:tc>
        <w:tc>
          <w:tcPr>
            <w:tcW w:w="879" w:type="dxa"/>
            <w:tcBorders>
              <w:left w:val="single" w:color="auto" w:sz="4" w:space="0"/>
              <w:right w:val="single" w:color="auto" w:sz="4"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类型</w:t>
            </w:r>
          </w:p>
        </w:tc>
        <w:tc>
          <w:tcPr>
            <w:tcW w:w="1218" w:type="dxa"/>
            <w:tcBorders>
              <w:left w:val="single" w:color="auto" w:sz="4" w:space="0"/>
              <w:right w:val="single" w:color="auto" w:sz="6" w:space="0"/>
            </w:tcBorders>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3" w:hRule="atLeast"/>
          <w:jc w:val="center"/>
        </w:trPr>
        <w:tc>
          <w:tcPr>
            <w:tcW w:w="709" w:type="dxa"/>
            <w:tcBorders>
              <w:left w:val="single" w:color="auto" w:sz="6"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0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张勤</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男</w:t>
            </w:r>
          </w:p>
        </w:tc>
        <w:tc>
          <w:tcPr>
            <w:tcW w:w="127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1956年</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主任委员</w:t>
            </w:r>
          </w:p>
        </w:tc>
        <w:tc>
          <w:tcPr>
            <w:tcW w:w="70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中国农业大学</w:t>
            </w:r>
          </w:p>
        </w:tc>
        <w:tc>
          <w:tcPr>
            <w:tcW w:w="879"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外校专家</w:t>
            </w:r>
          </w:p>
        </w:tc>
        <w:tc>
          <w:tcPr>
            <w:tcW w:w="1218" w:type="dxa"/>
            <w:tcBorders>
              <w:left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left w:val="single" w:color="auto" w:sz="6"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0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王恬</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男</w:t>
            </w:r>
          </w:p>
        </w:tc>
        <w:tc>
          <w:tcPr>
            <w:tcW w:w="127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1958年</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南京农业大学</w:t>
            </w:r>
          </w:p>
        </w:tc>
        <w:tc>
          <w:tcPr>
            <w:tcW w:w="879"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外校专家</w:t>
            </w:r>
          </w:p>
        </w:tc>
        <w:tc>
          <w:tcPr>
            <w:tcW w:w="1218" w:type="dxa"/>
            <w:tcBorders>
              <w:left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left w:val="single" w:color="auto" w:sz="6"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0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赵书红</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女</w:t>
            </w:r>
          </w:p>
        </w:tc>
        <w:tc>
          <w:tcPr>
            <w:tcW w:w="127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1967年</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华中农业大学</w:t>
            </w:r>
          </w:p>
        </w:tc>
        <w:tc>
          <w:tcPr>
            <w:tcW w:w="879"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外校专家</w:t>
            </w:r>
          </w:p>
        </w:tc>
        <w:tc>
          <w:tcPr>
            <w:tcW w:w="1218" w:type="dxa"/>
            <w:tcBorders>
              <w:left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left w:val="single" w:color="auto" w:sz="6"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10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姚军虎</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男</w:t>
            </w:r>
          </w:p>
        </w:tc>
        <w:tc>
          <w:tcPr>
            <w:tcW w:w="127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1962年</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西北农林科技大学</w:t>
            </w:r>
          </w:p>
        </w:tc>
        <w:tc>
          <w:tcPr>
            <w:tcW w:w="879"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校内专家</w:t>
            </w:r>
          </w:p>
        </w:tc>
        <w:tc>
          <w:tcPr>
            <w:tcW w:w="1218" w:type="dxa"/>
            <w:tcBorders>
              <w:left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left w:val="single" w:color="auto" w:sz="6"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106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曹胜波</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男</w:t>
            </w:r>
          </w:p>
        </w:tc>
        <w:tc>
          <w:tcPr>
            <w:tcW w:w="1275"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1975年</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华中农业大学</w:t>
            </w:r>
          </w:p>
        </w:tc>
        <w:tc>
          <w:tcPr>
            <w:tcW w:w="879"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外校专家</w:t>
            </w:r>
          </w:p>
        </w:tc>
        <w:tc>
          <w:tcPr>
            <w:tcW w:w="1218" w:type="dxa"/>
            <w:tcBorders>
              <w:left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left w:val="single" w:color="auto" w:sz="6" w:space="0"/>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1065"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杨增岐</w:t>
            </w:r>
          </w:p>
        </w:tc>
        <w:tc>
          <w:tcPr>
            <w:tcW w:w="709"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男</w:t>
            </w:r>
          </w:p>
        </w:tc>
        <w:tc>
          <w:tcPr>
            <w:tcW w:w="1275"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1963年</w:t>
            </w:r>
          </w:p>
        </w:tc>
        <w:tc>
          <w:tcPr>
            <w:tcW w:w="709"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tcBorders>
              <w:bottom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西北农林科技大学</w:t>
            </w:r>
          </w:p>
        </w:tc>
        <w:tc>
          <w:tcPr>
            <w:tcW w:w="879"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校内专家</w:t>
            </w:r>
          </w:p>
        </w:tc>
        <w:tc>
          <w:tcPr>
            <w:tcW w:w="1218" w:type="dxa"/>
            <w:tcBorders>
              <w:left w:val="single" w:color="auto" w:sz="4" w:space="0"/>
              <w:bottom w:val="single" w:color="auto" w:sz="4" w:space="0"/>
              <w:right w:val="single" w:color="auto" w:sz="6"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郭鑫</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女</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1972年</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教授</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委员</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中国农业大学</w:t>
            </w:r>
          </w:p>
        </w:tc>
        <w:tc>
          <w:tcPr>
            <w:tcW w:w="87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校外专家</w:t>
            </w:r>
          </w:p>
        </w:tc>
        <w:tc>
          <w:tcPr>
            <w:tcW w:w="12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bookmarkStart w:id="7" w:name="_GoBack"/>
            <w:bookmarkEnd w:id="7"/>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注：（1）教学指导委员会类型包括校内专家、外校专家、企业专家和外籍专家。（2）职务：包括主任委员和委员两类。（3）参会次数：年度内参加教学指导委员会会议的次数。</w:t>
      </w:r>
    </w:p>
    <w:p>
      <w:pPr>
        <w:widowControl/>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br w:type="page"/>
      </w:r>
    </w:p>
    <w:p>
      <w:pPr>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五、信息化建设、开放运行和示范辐射情况</w:t>
      </w:r>
    </w:p>
    <w:p>
      <w:pPr>
        <w:spacing w:after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（一）信息化建设情况</w:t>
      </w:r>
    </w:p>
    <w:tbl>
      <w:tblPr>
        <w:tblStyle w:val="29"/>
        <w:tblW w:w="806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7"/>
        <w:gridCol w:w="1806"/>
        <w:gridCol w:w="3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中心网址</w:t>
            </w:r>
          </w:p>
        </w:tc>
        <w:tc>
          <w:tcPr>
            <w:tcW w:w="4836" w:type="dxa"/>
            <w:gridSpan w:val="2"/>
          </w:tcPr>
          <w:p>
            <w:pP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http://dkxy.nwsuaf.edu.cn/syjxzx/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中心网址年度访问总量</w:t>
            </w:r>
          </w:p>
        </w:tc>
        <w:tc>
          <w:tcPr>
            <w:tcW w:w="4836" w:type="dxa"/>
            <w:gridSpan w:val="2"/>
          </w:tcPr>
          <w:p>
            <w:pPr>
              <w:jc w:val="left"/>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rPr>
              <w:t>59742</w:t>
            </w:r>
            <w:r>
              <w:rPr>
                <w:rFonts w:ascii="Times New Roman" w:hAnsi="Times New Roman" w:eastAsia="仿宋" w:cs="Times New Roman"/>
                <w:color w:val="000000"/>
                <w:sz w:val="28"/>
                <w:szCs w:val="28"/>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信息化资源总量</w:t>
            </w:r>
          </w:p>
        </w:tc>
        <w:tc>
          <w:tcPr>
            <w:tcW w:w="4836" w:type="dxa"/>
            <w:gridSpan w:val="2"/>
          </w:tcPr>
          <w:p>
            <w:pPr>
              <w:jc w:val="left"/>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lang w:val="en-US" w:eastAsia="zh-CN"/>
              </w:rPr>
              <w:t>38</w:t>
            </w:r>
            <w:r>
              <w:rPr>
                <w:rFonts w:ascii="Times New Roman" w:hAnsi="Times New Roman" w:eastAsia="仿宋" w:cs="Times New Roman"/>
                <w:color w:val="000000"/>
                <w:sz w:val="28"/>
                <w:szCs w:val="28"/>
              </w:rPr>
              <w:t>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信息化资源年度更新量</w:t>
            </w:r>
          </w:p>
        </w:tc>
        <w:tc>
          <w:tcPr>
            <w:tcW w:w="4836" w:type="dxa"/>
            <w:gridSpan w:val="2"/>
          </w:tcPr>
          <w:p>
            <w:pPr>
              <w:jc w:val="left"/>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lang w:val="en-US" w:eastAsia="zh-CN"/>
              </w:rPr>
              <w:t>2</w:t>
            </w:r>
            <w:r>
              <w:rPr>
                <w:rFonts w:hint="eastAsia" w:ascii="Times New Roman" w:hAnsi="Times New Roman" w:eastAsia="仿宋" w:cs="Times New Roman"/>
                <w:color w:val="000000"/>
                <w:sz w:val="28"/>
                <w:szCs w:val="28"/>
              </w:rPr>
              <w:t>000</w:t>
            </w:r>
            <w:r>
              <w:rPr>
                <w:rFonts w:ascii="Times New Roman" w:hAnsi="Times New Roman" w:eastAsia="仿宋" w:cs="Times New Roman"/>
                <w:color w:val="000000"/>
                <w:sz w:val="28"/>
                <w:szCs w:val="28"/>
              </w:rPr>
              <w:t>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虚拟仿真实验教学项目</w:t>
            </w:r>
          </w:p>
        </w:tc>
        <w:tc>
          <w:tcPr>
            <w:tcW w:w="4836" w:type="dxa"/>
            <w:gridSpan w:val="2"/>
          </w:tcPr>
          <w:p>
            <w:pPr>
              <w:jc w:val="left"/>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Merge w:val="restart"/>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中心信息化工作联系人</w:t>
            </w:r>
          </w:p>
        </w:tc>
        <w:tc>
          <w:tcPr>
            <w:tcW w:w="1806" w:type="dxa"/>
            <w:tcBorders>
              <w:right w:val="single" w:color="auto" w:sz="4" w:space="0"/>
            </w:tcBorders>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姓名</w:t>
            </w:r>
          </w:p>
        </w:tc>
        <w:tc>
          <w:tcPr>
            <w:tcW w:w="3030" w:type="dxa"/>
            <w:tcBorders>
              <w:left w:val="single" w:color="auto" w:sz="4" w:space="0"/>
            </w:tcBorders>
            <w:vAlign w:val="center"/>
          </w:tcPr>
          <w:p>
            <w:pPr>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rPr>
              <w:t xml:space="preserve"> 郭超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Merge w:val="continue"/>
          </w:tcPr>
          <w:p>
            <w:pPr>
              <w:rPr>
                <w:rFonts w:ascii="Times New Roman" w:hAnsi="Times New Roman" w:eastAsia="仿宋" w:cs="Times New Roman"/>
                <w:color w:val="000000"/>
                <w:sz w:val="28"/>
                <w:szCs w:val="28"/>
              </w:rPr>
            </w:pPr>
          </w:p>
        </w:tc>
        <w:tc>
          <w:tcPr>
            <w:tcW w:w="1806" w:type="dxa"/>
            <w:tcBorders>
              <w:right w:val="single" w:color="auto" w:sz="4" w:space="0"/>
            </w:tcBorders>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移动电话</w:t>
            </w:r>
          </w:p>
        </w:tc>
        <w:tc>
          <w:tcPr>
            <w:tcW w:w="3030" w:type="dxa"/>
            <w:tcBorders>
              <w:left w:val="single" w:color="auto" w:sz="4" w:space="0"/>
            </w:tcBorders>
            <w:vAlign w:val="center"/>
          </w:tcPr>
          <w:p>
            <w:pPr>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rPr>
              <w:t xml:space="preserve"> 13891908211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227" w:type="dxa"/>
            <w:vMerge w:val="continue"/>
          </w:tcPr>
          <w:p>
            <w:pPr>
              <w:rPr>
                <w:rFonts w:ascii="Times New Roman" w:hAnsi="Times New Roman" w:eastAsia="仿宋" w:cs="Times New Roman"/>
                <w:color w:val="000000"/>
                <w:sz w:val="28"/>
                <w:szCs w:val="28"/>
              </w:rPr>
            </w:pPr>
          </w:p>
        </w:tc>
        <w:tc>
          <w:tcPr>
            <w:tcW w:w="1806" w:type="dxa"/>
            <w:tcBorders>
              <w:right w:val="single" w:color="auto" w:sz="4" w:space="0"/>
            </w:tcBorders>
            <w:vAlign w:val="center"/>
          </w:tcPr>
          <w:p>
            <w:pPr>
              <w:jc w:val="center"/>
              <w:rPr>
                <w:rFonts w:ascii="Times New Roman" w:hAnsi="Times New Roman" w:eastAsia="楷体" w:cs="Times New Roman"/>
                <w:color w:val="000000"/>
              </w:rPr>
            </w:pPr>
            <w:r>
              <w:rPr>
                <w:rFonts w:ascii="Times New Roman" w:hAnsi="Times New Roman" w:eastAsia="楷体" w:cs="Times New Roman"/>
                <w:color w:val="000000"/>
              </w:rPr>
              <w:t>电子邮箱</w:t>
            </w:r>
          </w:p>
        </w:tc>
        <w:tc>
          <w:tcPr>
            <w:tcW w:w="3030" w:type="dxa"/>
            <w:tcBorders>
              <w:left w:val="single" w:color="auto" w:sz="4" w:space="0"/>
            </w:tcBorders>
            <w:vAlign w:val="center"/>
          </w:tcPr>
          <w:p>
            <w:pPr>
              <w:jc w:val="center"/>
              <w:rPr>
                <w:rFonts w:ascii="Times New Roman" w:hAnsi="Times New Roman" w:eastAsia="仿宋" w:cs="Times New Roman"/>
                <w:color w:val="000000"/>
                <w:sz w:val="21"/>
                <w:szCs w:val="21"/>
              </w:rPr>
            </w:pPr>
            <w:r>
              <w:rPr>
                <w:rFonts w:hint="eastAsia" w:ascii="Times New Roman" w:hAnsi="Times New Roman" w:eastAsia="仿宋" w:cs="Times New Roman"/>
                <w:color w:val="000000"/>
                <w:sz w:val="21"/>
                <w:szCs w:val="21"/>
              </w:rPr>
              <w:t xml:space="preserve"> guochao@nwsuaf.edu.c n</w:t>
            </w:r>
          </w:p>
        </w:tc>
      </w:tr>
    </w:tbl>
    <w:p>
      <w:pPr>
        <w:spacing w:before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（二）开放运行和示范辐射情况</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1.参加示范中心联席会活动情况</w:t>
      </w:r>
    </w:p>
    <w:tbl>
      <w:tblPr>
        <w:tblStyle w:val="29"/>
        <w:tblW w:w="8522"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42"/>
        <w:gridCol w:w="4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4042" w:type="dxa"/>
            <w:vAlign w:val="center"/>
          </w:tcPr>
          <w:p>
            <w:pPr>
              <w:spacing w:beforeLines="50"/>
              <w:jc w:val="center"/>
              <w:rPr>
                <w:rFonts w:ascii="Times New Roman" w:hAnsi="Times New Roman" w:cs="Times New Roman"/>
                <w:color w:val="000000"/>
              </w:rPr>
            </w:pPr>
            <w:r>
              <w:rPr>
                <w:rFonts w:ascii="Times New Roman" w:hAnsi="Times New Roman" w:cs="Times New Roman"/>
                <w:color w:val="000000"/>
              </w:rPr>
              <w:t>所在示范中心联席会学科组名称</w:t>
            </w:r>
          </w:p>
        </w:tc>
        <w:tc>
          <w:tcPr>
            <w:tcW w:w="4480" w:type="dxa"/>
          </w:tcPr>
          <w:p>
            <w:pPr>
              <w:spacing w:beforeLines="50"/>
              <w:rPr>
                <w:rFonts w:ascii="Times New Roman" w:hAnsi="Times New Roman" w:cs="Times New Roman"/>
                <w:color w:val="000000"/>
              </w:rPr>
            </w:pPr>
            <w:r>
              <w:rPr>
                <w:rFonts w:ascii="Times New Roman" w:hAnsi="Times New Roman" w:cs="Times New Roman"/>
                <w:color w:val="000000"/>
              </w:rPr>
              <w:t>国家级实验教学示范中心高等学校植物/农林/动物/水产学科组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042" w:type="dxa"/>
            <w:vAlign w:val="center"/>
          </w:tcPr>
          <w:p>
            <w:pPr>
              <w:spacing w:beforeLines="50"/>
              <w:ind w:firstLine="480" w:firstLineChars="200"/>
              <w:jc w:val="center"/>
              <w:rPr>
                <w:rFonts w:ascii="Times New Roman" w:hAnsi="Times New Roman" w:cs="Times New Roman"/>
                <w:color w:val="000000"/>
              </w:rPr>
            </w:pPr>
            <w:r>
              <w:rPr>
                <w:rFonts w:ascii="Times New Roman" w:hAnsi="Times New Roman" w:cs="Times New Roman"/>
                <w:color w:val="000000"/>
              </w:rPr>
              <w:t>参加活动的人次数</w:t>
            </w:r>
          </w:p>
        </w:tc>
        <w:tc>
          <w:tcPr>
            <w:tcW w:w="4480" w:type="dxa"/>
          </w:tcPr>
          <w:p>
            <w:pPr>
              <w:spacing w:beforeLines="50"/>
              <w:jc w:val="right"/>
              <w:rPr>
                <w:rFonts w:ascii="Times New Roman" w:hAnsi="Times New Roman" w:cs="Times New Roman"/>
                <w:color w:val="000000"/>
              </w:rPr>
            </w:pPr>
            <w:r>
              <w:rPr>
                <w:rFonts w:hint="eastAsia" w:ascii="Times New Roman" w:hAnsi="Times New Roman" w:cs="Times New Roman"/>
                <w:color w:val="000000"/>
              </w:rPr>
              <w:t xml:space="preserve"> 7</w:t>
            </w:r>
            <w:r>
              <w:rPr>
                <w:rFonts w:ascii="Times New Roman" w:hAnsi="Times New Roman" w:cs="Times New Roman"/>
                <w:color w:val="000000"/>
              </w:rPr>
              <w:t>人次</w:t>
            </w:r>
          </w:p>
        </w:tc>
      </w:tr>
    </w:tbl>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2.承办大型会议情况</w:t>
      </w:r>
    </w:p>
    <w:tbl>
      <w:tblPr>
        <w:tblStyle w:val="29"/>
        <w:tblW w:w="8627" w:type="dxa"/>
        <w:tblInd w:w="-1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2329"/>
        <w:gridCol w:w="1984"/>
        <w:gridCol w:w="851"/>
        <w:gridCol w:w="709"/>
        <w:gridCol w:w="1134"/>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c>
          <w:tcPr>
            <w:tcW w:w="720" w:type="dxa"/>
            <w:vAlign w:val="center"/>
          </w:tcPr>
          <w:p>
            <w:pPr>
              <w:jc w:val="center"/>
              <w:rPr>
                <w:rFonts w:ascii="Times New Roman" w:hAnsi="Times New Roman" w:cs="Times New Roman"/>
                <w:color w:val="000000"/>
              </w:rPr>
            </w:pPr>
            <w:r>
              <w:rPr>
                <w:rFonts w:ascii="Times New Roman" w:hAnsi="Times New Roman" w:cs="Times New Roman"/>
                <w:color w:val="000000"/>
              </w:rPr>
              <w:t>序号</w:t>
            </w:r>
          </w:p>
        </w:tc>
        <w:tc>
          <w:tcPr>
            <w:tcW w:w="2329" w:type="dxa"/>
            <w:vAlign w:val="center"/>
          </w:tcPr>
          <w:p>
            <w:pPr>
              <w:jc w:val="center"/>
              <w:rPr>
                <w:rFonts w:ascii="Times New Roman" w:hAnsi="Times New Roman" w:cs="Times New Roman"/>
                <w:color w:val="000000"/>
              </w:rPr>
            </w:pPr>
            <w:r>
              <w:rPr>
                <w:rFonts w:ascii="Times New Roman" w:hAnsi="Times New Roman" w:cs="Times New Roman"/>
                <w:color w:val="000000"/>
              </w:rPr>
              <w:t>会议名称</w:t>
            </w:r>
          </w:p>
        </w:tc>
        <w:tc>
          <w:tcPr>
            <w:tcW w:w="1984" w:type="dxa"/>
            <w:vAlign w:val="center"/>
          </w:tcPr>
          <w:p>
            <w:pPr>
              <w:jc w:val="center"/>
              <w:rPr>
                <w:rFonts w:ascii="Times New Roman" w:hAnsi="Times New Roman" w:cs="Times New Roman"/>
                <w:color w:val="000000"/>
              </w:rPr>
            </w:pPr>
            <w:r>
              <w:rPr>
                <w:rFonts w:ascii="Times New Roman" w:hAnsi="Times New Roman" w:cs="Times New Roman"/>
                <w:color w:val="000000"/>
              </w:rPr>
              <w:t>主办单位名称</w:t>
            </w:r>
          </w:p>
        </w:tc>
        <w:tc>
          <w:tcPr>
            <w:tcW w:w="851" w:type="dxa"/>
            <w:vAlign w:val="center"/>
          </w:tcPr>
          <w:p>
            <w:pPr>
              <w:jc w:val="center"/>
              <w:rPr>
                <w:rFonts w:ascii="Times New Roman" w:hAnsi="Times New Roman" w:cs="Times New Roman"/>
                <w:color w:val="000000"/>
              </w:rPr>
            </w:pPr>
            <w:r>
              <w:rPr>
                <w:rFonts w:ascii="Times New Roman" w:hAnsi="Times New Roman" w:cs="Times New Roman"/>
                <w:color w:val="000000"/>
              </w:rPr>
              <w:t>会议主席</w:t>
            </w:r>
          </w:p>
        </w:tc>
        <w:tc>
          <w:tcPr>
            <w:tcW w:w="709" w:type="dxa"/>
            <w:vAlign w:val="center"/>
          </w:tcPr>
          <w:p>
            <w:pPr>
              <w:jc w:val="center"/>
              <w:rPr>
                <w:rFonts w:ascii="Times New Roman" w:hAnsi="Times New Roman" w:cs="Times New Roman"/>
                <w:color w:val="000000"/>
              </w:rPr>
            </w:pPr>
            <w:r>
              <w:rPr>
                <w:rFonts w:ascii="Times New Roman" w:hAnsi="Times New Roman" w:cs="Times New Roman"/>
                <w:color w:val="000000"/>
              </w:rPr>
              <w:t>参加人数</w:t>
            </w:r>
          </w:p>
        </w:tc>
        <w:tc>
          <w:tcPr>
            <w:tcW w:w="1134" w:type="dxa"/>
            <w:vAlign w:val="center"/>
          </w:tcPr>
          <w:p>
            <w:pPr>
              <w:jc w:val="center"/>
              <w:rPr>
                <w:rFonts w:ascii="Times New Roman" w:hAnsi="Times New Roman" w:cs="Times New Roman"/>
                <w:color w:val="000000"/>
              </w:rPr>
            </w:pPr>
            <w:r>
              <w:rPr>
                <w:rFonts w:ascii="Times New Roman" w:hAnsi="Times New Roman" w:cs="Times New Roman"/>
                <w:color w:val="000000"/>
              </w:rPr>
              <w:t>时间</w:t>
            </w:r>
          </w:p>
        </w:tc>
        <w:tc>
          <w:tcPr>
            <w:tcW w:w="900" w:type="dxa"/>
            <w:vAlign w:val="center"/>
          </w:tcPr>
          <w:p>
            <w:pPr>
              <w:jc w:val="center"/>
              <w:rPr>
                <w:rFonts w:ascii="Times New Roman" w:hAnsi="Times New Roman" w:cs="Times New Roman"/>
                <w:color w:val="000000"/>
              </w:rPr>
            </w:pPr>
            <w:r>
              <w:rPr>
                <w:rFonts w:ascii="Times New Roman" w:hAnsi="Times New Roman" w:cs="Times New Roman"/>
                <w:color w:val="000000"/>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w:t>
            </w:r>
          </w:p>
        </w:tc>
        <w:tc>
          <w:tcPr>
            <w:tcW w:w="2329" w:type="dxa"/>
            <w:vAlign w:val="center"/>
          </w:tcPr>
          <w:p>
            <w:pPr>
              <w:jc w:val="center"/>
              <w:rPr>
                <w:rFonts w:ascii="Times New Roman" w:hAnsi="Times New Roman" w:cs="Times New Roman"/>
                <w:color w:val="000000"/>
              </w:rPr>
            </w:pPr>
            <w:r>
              <w:rPr>
                <w:rFonts w:hint="eastAsia"/>
                <w:color w:val="000000"/>
                <w:sz w:val="18"/>
                <w:szCs w:val="18"/>
                <w:shd w:val="clear" w:color="auto" w:fill="FFFFFF"/>
              </w:rPr>
              <w:t>2018年杨凌国际农业科技论坛“动物生物技术与健康养殖”分论坛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西北农林科技大学动物科技学院</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罗  军</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120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2018.11.06</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全球性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第二届世界奶山羊产业发展大会</w:t>
            </w:r>
          </w:p>
        </w:tc>
        <w:tc>
          <w:tcPr>
            <w:tcW w:w="1984" w:type="dxa"/>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西北农林科技大学、国际山羊协会</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曹斌云</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200</w:t>
            </w:r>
          </w:p>
        </w:tc>
        <w:tc>
          <w:tcPr>
            <w:tcW w:w="1134" w:type="dxa"/>
          </w:tcPr>
          <w:p>
            <w:pPr>
              <w:jc w:val="center"/>
              <w:rPr>
                <w:rFonts w:ascii="Times New Roman" w:hAnsi="Times New Roman" w:cs="Times New Roman"/>
                <w:color w:val="000000"/>
              </w:rPr>
            </w:pPr>
            <w:r>
              <w:rPr>
                <w:rFonts w:hint="eastAsia" w:ascii="宋体" w:hAnsi="宋体" w:cs="Times New Roman"/>
                <w:color w:val="000000"/>
                <w:sz w:val="18"/>
                <w:szCs w:val="18"/>
              </w:rPr>
              <w:t>2018.08.19-21</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全球性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3</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中国西部畜牧业创新发展高峰论坛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陕西省农业厅、杨凌示范区管委会、西北农林科技大学、杨凌职业技术学院、陕西省畜牧业协会</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杨公社</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2018.06.28-29</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4</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中国西部肉牛产业创新发展论坛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西北农林科技大学、陕西省农业厅、杨凌示范区管委会、国家肉牛改良中心、陕西省畜牧协会</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昝林森</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2018.06.28-29</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5</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中国西部肉羊产业创新发展论坛</w:t>
            </w:r>
          </w:p>
        </w:tc>
        <w:tc>
          <w:tcPr>
            <w:tcW w:w="1984"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杨凌示范区管委会、西北农林科技大学、陕西省农业厅、陕西省畜牧业协会</w:t>
            </w:r>
          </w:p>
        </w:tc>
        <w:tc>
          <w:tcPr>
            <w:tcW w:w="851"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陈玉林</w:t>
            </w:r>
          </w:p>
        </w:tc>
        <w:tc>
          <w:tcPr>
            <w:tcW w:w="709"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100</w:t>
            </w:r>
          </w:p>
        </w:tc>
        <w:tc>
          <w:tcPr>
            <w:tcW w:w="1134"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2018.6.29</w:t>
            </w:r>
          </w:p>
        </w:tc>
        <w:tc>
          <w:tcPr>
            <w:tcW w:w="900" w:type="dxa"/>
            <w:vAlign w:val="center"/>
          </w:tcPr>
          <w:p>
            <w:pPr>
              <w:jc w:val="center"/>
              <w:rPr>
                <w:rFonts w:ascii="Times New Roman" w:hAnsi="Times New Roman" w:cs="Times New Roman"/>
                <w:color w:val="000000"/>
              </w:rPr>
            </w:pPr>
            <w:r>
              <w:rPr>
                <w:rFonts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6</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中国西部家禽产业创新发展论坛</w:t>
            </w:r>
          </w:p>
        </w:tc>
        <w:tc>
          <w:tcPr>
            <w:tcW w:w="1984"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国家杨凌农业高新技术产业示范区管委会、西北农林科技大学、陕西省农业厅、陕西省畜牧业协会</w:t>
            </w:r>
          </w:p>
        </w:tc>
        <w:tc>
          <w:tcPr>
            <w:tcW w:w="851"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高玉鹏</w:t>
            </w:r>
          </w:p>
        </w:tc>
        <w:tc>
          <w:tcPr>
            <w:tcW w:w="709"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200</w:t>
            </w:r>
          </w:p>
        </w:tc>
        <w:tc>
          <w:tcPr>
            <w:tcW w:w="1134" w:type="dxa"/>
            <w:vAlign w:val="center"/>
          </w:tcPr>
          <w:p>
            <w:pPr>
              <w:jc w:val="center"/>
              <w:rPr>
                <w:rFonts w:ascii="宋体" w:hAnsi="宋体" w:cs="Times New Roman"/>
                <w:color w:val="000000"/>
                <w:sz w:val="18"/>
                <w:szCs w:val="18"/>
              </w:rPr>
            </w:pPr>
            <w:r>
              <w:rPr>
                <w:rFonts w:hint="eastAsia" w:ascii="宋体" w:hAnsi="宋体" w:cs="Times New Roman"/>
                <w:color w:val="000000"/>
                <w:sz w:val="18"/>
                <w:szCs w:val="18"/>
              </w:rPr>
              <w:t>2</w:t>
            </w:r>
            <w:r>
              <w:rPr>
                <w:rFonts w:ascii="宋体" w:hAnsi="宋体" w:cs="Times New Roman"/>
                <w:color w:val="000000"/>
                <w:sz w:val="18"/>
                <w:szCs w:val="18"/>
              </w:rPr>
              <w:t>018.</w:t>
            </w:r>
            <w:r>
              <w:rPr>
                <w:rFonts w:hint="eastAsia" w:ascii="宋体" w:hAnsi="宋体" w:cs="Times New Roman"/>
                <w:color w:val="000000"/>
                <w:sz w:val="18"/>
                <w:szCs w:val="18"/>
              </w:rPr>
              <w:t>0</w:t>
            </w:r>
            <w:r>
              <w:rPr>
                <w:rFonts w:ascii="宋体" w:hAnsi="宋体" w:cs="Times New Roman"/>
                <w:color w:val="000000"/>
                <w:sz w:val="18"/>
                <w:szCs w:val="18"/>
              </w:rPr>
              <w:t>6.28</w:t>
            </w:r>
            <w:r>
              <w:rPr>
                <w:rFonts w:hint="eastAsia" w:ascii="宋体" w:hAnsi="宋体" w:cs="Times New Roman"/>
                <w:color w:val="000000"/>
                <w:sz w:val="18"/>
                <w:szCs w:val="18"/>
              </w:rPr>
              <w:t>-29</w:t>
            </w:r>
          </w:p>
        </w:tc>
        <w:tc>
          <w:tcPr>
            <w:tcW w:w="900" w:type="dxa"/>
            <w:vAlign w:val="center"/>
          </w:tcPr>
          <w:p>
            <w:pPr>
              <w:jc w:val="center"/>
              <w:rPr>
                <w:rFonts w:ascii="Times New Roman" w:hAnsi="Times New Roman" w:cs="Times New Roman"/>
                <w:color w:val="000000"/>
              </w:rPr>
            </w:pPr>
            <w:r>
              <w:rPr>
                <w:rFonts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7</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中国西部兔业创新发展论坛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西北农林科技大学、动物科技学院等</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任战军</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130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w:t>
            </w:r>
            <w:r>
              <w:rPr>
                <w:rFonts w:ascii="宋体" w:hAnsi="宋体" w:cs="Times New Roman"/>
                <w:color w:val="000000"/>
                <w:sz w:val="18"/>
                <w:szCs w:val="18"/>
              </w:rPr>
              <w:t>018.</w:t>
            </w:r>
            <w:r>
              <w:rPr>
                <w:rFonts w:hint="eastAsia" w:ascii="宋体" w:hAnsi="宋体" w:cs="Times New Roman"/>
                <w:color w:val="000000"/>
                <w:sz w:val="18"/>
                <w:szCs w:val="18"/>
              </w:rPr>
              <w:t>0</w:t>
            </w:r>
            <w:r>
              <w:rPr>
                <w:rFonts w:ascii="宋体" w:hAnsi="宋体" w:cs="Times New Roman"/>
                <w:color w:val="000000"/>
                <w:sz w:val="18"/>
                <w:szCs w:val="18"/>
              </w:rPr>
              <w:t>6.28</w:t>
            </w:r>
            <w:r>
              <w:rPr>
                <w:rFonts w:hint="eastAsia" w:ascii="宋体" w:hAnsi="宋体" w:cs="Times New Roman"/>
                <w:color w:val="000000"/>
                <w:sz w:val="18"/>
                <w:szCs w:val="18"/>
              </w:rPr>
              <w:t>-29</w:t>
            </w:r>
          </w:p>
        </w:tc>
        <w:tc>
          <w:tcPr>
            <w:tcW w:w="900" w:type="dxa"/>
            <w:vAlign w:val="center"/>
          </w:tcPr>
          <w:p>
            <w:pPr>
              <w:jc w:val="center"/>
              <w:rPr>
                <w:rFonts w:ascii="Times New Roman" w:hAnsi="Times New Roman" w:cs="Times New Roman"/>
                <w:color w:val="000000"/>
              </w:rPr>
            </w:pPr>
            <w:r>
              <w:rPr>
                <w:rFonts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8</w:t>
            </w:r>
          </w:p>
        </w:tc>
        <w:tc>
          <w:tcPr>
            <w:tcW w:w="2329" w:type="dxa"/>
            <w:vAlign w:val="center"/>
          </w:tcPr>
          <w:p>
            <w:pPr>
              <w:jc w:val="center"/>
              <w:rPr>
                <w:rFonts w:ascii="Times New Roman" w:hAnsi="Times New Roman" w:cs="Times New Roman"/>
              </w:rPr>
            </w:pPr>
            <w:r>
              <w:rPr>
                <w:rFonts w:hint="eastAsia"/>
                <w:sz w:val="18"/>
                <w:szCs w:val="18"/>
              </w:rPr>
              <w:t>第二届中国西部种猪业发展高峰论坛</w:t>
            </w:r>
          </w:p>
        </w:tc>
        <w:tc>
          <w:tcPr>
            <w:tcW w:w="1984" w:type="dxa"/>
            <w:vAlign w:val="center"/>
          </w:tcPr>
          <w:p>
            <w:pPr>
              <w:jc w:val="center"/>
              <w:rPr>
                <w:rFonts w:ascii="Times New Roman" w:hAnsi="Times New Roman" w:cs="Times New Roman"/>
              </w:rPr>
            </w:pPr>
            <w:r>
              <w:rPr>
                <w:rFonts w:hint="eastAsia"/>
                <w:sz w:val="18"/>
                <w:szCs w:val="18"/>
              </w:rPr>
              <w:t>商南县委、县人民政府、陕西省农业厅、西北养猪协会、陕西省生猪产业技术体系、</w:t>
            </w:r>
            <w:r>
              <w:rPr>
                <w:rFonts w:hint="eastAsia" w:ascii="宋体" w:hAnsi="宋体" w:cs="Times New Roman"/>
                <w:sz w:val="18"/>
                <w:szCs w:val="18"/>
              </w:rPr>
              <w:t>西北农林科技大学</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王立贤</w:t>
            </w:r>
          </w:p>
        </w:tc>
        <w:tc>
          <w:tcPr>
            <w:tcW w:w="709" w:type="dxa"/>
            <w:vAlign w:val="center"/>
          </w:tcPr>
          <w:p>
            <w:pPr>
              <w:jc w:val="center"/>
              <w:rPr>
                <w:rFonts w:ascii="Times New Roman" w:hAnsi="Times New Roman" w:cs="Times New Roman"/>
                <w:color w:val="000000"/>
              </w:rPr>
            </w:pPr>
            <w:r>
              <w:rPr>
                <w:rFonts w:ascii="宋体" w:hAnsi="宋体" w:cs="Times New Roman"/>
                <w:color w:val="000000"/>
                <w:sz w:val="18"/>
                <w:szCs w:val="18"/>
              </w:rPr>
              <w:t>230</w:t>
            </w:r>
          </w:p>
        </w:tc>
        <w:tc>
          <w:tcPr>
            <w:tcW w:w="1134" w:type="dxa"/>
            <w:vAlign w:val="center"/>
          </w:tcPr>
          <w:p>
            <w:pPr>
              <w:jc w:val="center"/>
              <w:rPr>
                <w:rFonts w:ascii="Times New Roman" w:hAnsi="Times New Roman" w:cs="Times New Roman"/>
                <w:color w:val="000000"/>
              </w:rPr>
            </w:pPr>
            <w:r>
              <w:rPr>
                <w:rFonts w:ascii="宋体" w:hAnsi="宋体" w:cs="Times New Roman"/>
                <w:color w:val="000000"/>
                <w:sz w:val="18"/>
                <w:szCs w:val="18"/>
              </w:rPr>
              <w:t>2018.</w:t>
            </w:r>
            <w:r>
              <w:rPr>
                <w:rFonts w:hint="eastAsia" w:ascii="宋体" w:hAnsi="宋体" w:cs="Times New Roman"/>
                <w:color w:val="000000"/>
                <w:sz w:val="18"/>
                <w:szCs w:val="18"/>
              </w:rPr>
              <w:t>0</w:t>
            </w:r>
            <w:r>
              <w:rPr>
                <w:rFonts w:ascii="宋体" w:hAnsi="宋体" w:cs="Times New Roman"/>
                <w:color w:val="000000"/>
                <w:sz w:val="18"/>
                <w:szCs w:val="18"/>
              </w:rPr>
              <w:t>7.06</w:t>
            </w:r>
            <w:r>
              <w:rPr>
                <w:rFonts w:hint="eastAsia" w:ascii="宋体" w:hAnsi="宋体" w:cs="Times New Roman"/>
                <w:color w:val="000000"/>
                <w:sz w:val="18"/>
                <w:szCs w:val="18"/>
              </w:rPr>
              <w:t>-</w:t>
            </w:r>
            <w:r>
              <w:rPr>
                <w:rFonts w:ascii="宋体" w:hAnsi="宋体" w:cs="Times New Roman"/>
                <w:color w:val="000000"/>
                <w:sz w:val="18"/>
                <w:szCs w:val="18"/>
              </w:rPr>
              <w:t>07</w:t>
            </w:r>
          </w:p>
        </w:tc>
        <w:tc>
          <w:tcPr>
            <w:tcW w:w="900" w:type="dxa"/>
            <w:vAlign w:val="center"/>
          </w:tcPr>
          <w:p>
            <w:pPr>
              <w:jc w:val="center"/>
              <w:rPr>
                <w:rFonts w:ascii="Times New Roman" w:hAnsi="Times New Roman" w:cs="Times New Roman"/>
                <w:color w:val="000000"/>
              </w:rPr>
            </w:pPr>
            <w:r>
              <w:rPr>
                <w:rFonts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9</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畜禽消化道稳态营养高峰论坛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西北农林科技大学、重庆市畜牧科学院</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姚军虎</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9</w:t>
            </w:r>
            <w:r>
              <w:rPr>
                <w:rFonts w:ascii="宋体" w:hAnsi="宋体" w:cs="Times New Roman"/>
                <w:color w:val="000000"/>
                <w:sz w:val="18"/>
                <w:szCs w:val="18"/>
              </w:rPr>
              <w:t>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2018.10.21-23</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10</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中国蚕学会学术年会</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中国蚕学会西北农林科技大学</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廖森泰</w:t>
            </w:r>
          </w:p>
        </w:tc>
        <w:tc>
          <w:tcPr>
            <w:tcW w:w="709" w:type="dxa"/>
            <w:vAlign w:val="center"/>
          </w:tcPr>
          <w:p>
            <w:pPr>
              <w:jc w:val="center"/>
              <w:rPr>
                <w:rFonts w:ascii="Times New Roman" w:hAnsi="Times New Roman" w:cs="Times New Roman"/>
                <w:color w:val="000000"/>
              </w:rPr>
            </w:pPr>
            <w:r>
              <w:rPr>
                <w:rFonts w:ascii="宋体" w:hAnsi="宋体" w:cs="Times New Roman"/>
                <w:color w:val="000000"/>
                <w:sz w:val="18"/>
                <w:szCs w:val="18"/>
              </w:rPr>
              <w:t>200</w:t>
            </w:r>
          </w:p>
        </w:tc>
        <w:tc>
          <w:tcPr>
            <w:tcW w:w="1134" w:type="dxa"/>
            <w:vAlign w:val="center"/>
          </w:tcPr>
          <w:p>
            <w:pPr>
              <w:jc w:val="center"/>
              <w:rPr>
                <w:rFonts w:ascii="Times New Roman" w:hAnsi="Times New Roman" w:cs="Times New Roman"/>
                <w:color w:val="000000"/>
              </w:rPr>
            </w:pPr>
            <w:r>
              <w:rPr>
                <w:rFonts w:ascii="宋体" w:hAnsi="宋体" w:cs="Times New Roman"/>
                <w:color w:val="000000"/>
                <w:sz w:val="18"/>
                <w:szCs w:val="18"/>
              </w:rPr>
              <w:t>2018.10.10-13</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11</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现代动物遗传繁育前沿科技论坛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西北农林科技大学动物科技学院</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杨公社</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120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2018.09.24-27</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12</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西北五省（区）生猪生产发展论坛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中国畜牧兽医学会养猪学分会、西北五省（区）养猪协会、甘肃农业大学</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杨公社</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280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2018.08.27-29</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13</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中国改革开放40年养猪业发展论坛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中国畜牧兽医学会养猪学分会、西北五省（区）养猪协会、甘肃农业大学</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杨公社</w:t>
            </w:r>
          </w:p>
        </w:tc>
        <w:tc>
          <w:tcPr>
            <w:tcW w:w="70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280</w:t>
            </w:r>
          </w:p>
        </w:tc>
        <w:tc>
          <w:tcPr>
            <w:tcW w:w="113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2018.08.27-29</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2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14</w:t>
            </w:r>
          </w:p>
        </w:tc>
        <w:tc>
          <w:tcPr>
            <w:tcW w:w="2329"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2018生物科技发展论坛</w:t>
            </w:r>
          </w:p>
        </w:tc>
        <w:tc>
          <w:tcPr>
            <w:tcW w:w="1984"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西北农林科技大学动科学院</w:t>
            </w:r>
          </w:p>
        </w:tc>
        <w:tc>
          <w:tcPr>
            <w:tcW w:w="851"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杨公社</w:t>
            </w:r>
          </w:p>
        </w:tc>
        <w:tc>
          <w:tcPr>
            <w:tcW w:w="709" w:type="dxa"/>
            <w:vAlign w:val="center"/>
          </w:tcPr>
          <w:p>
            <w:pPr>
              <w:jc w:val="center"/>
              <w:rPr>
                <w:rFonts w:ascii="Times New Roman" w:hAnsi="Times New Roman" w:cs="Times New Roman"/>
                <w:color w:val="000000"/>
              </w:rPr>
            </w:pPr>
            <w:r>
              <w:rPr>
                <w:rFonts w:ascii="宋体" w:hAnsi="宋体" w:cs="Times New Roman"/>
                <w:color w:val="000000"/>
                <w:sz w:val="18"/>
                <w:szCs w:val="18"/>
              </w:rPr>
              <w:t>160</w:t>
            </w:r>
          </w:p>
        </w:tc>
        <w:tc>
          <w:tcPr>
            <w:tcW w:w="1134" w:type="dxa"/>
            <w:vAlign w:val="center"/>
          </w:tcPr>
          <w:p>
            <w:pPr>
              <w:jc w:val="center"/>
              <w:rPr>
                <w:rFonts w:ascii="Times New Roman" w:hAnsi="Times New Roman" w:cs="Times New Roman"/>
                <w:color w:val="000000"/>
              </w:rPr>
            </w:pPr>
            <w:r>
              <w:rPr>
                <w:rFonts w:ascii="宋体" w:hAnsi="宋体" w:cs="Times New Roman"/>
                <w:color w:val="000000"/>
                <w:sz w:val="18"/>
                <w:szCs w:val="18"/>
              </w:rPr>
              <w:t>2018.04.21</w:t>
            </w:r>
          </w:p>
        </w:tc>
        <w:tc>
          <w:tcPr>
            <w:tcW w:w="900" w:type="dxa"/>
            <w:vAlign w:val="center"/>
          </w:tcPr>
          <w:p>
            <w:pPr>
              <w:jc w:val="center"/>
              <w:rPr>
                <w:rFonts w:ascii="Times New Roman" w:hAnsi="Times New Roman" w:cs="Times New Roman"/>
                <w:color w:val="000000"/>
              </w:rPr>
            </w:pPr>
            <w:r>
              <w:rPr>
                <w:rFonts w:hint="eastAsia" w:ascii="宋体" w:hAnsi="宋体" w:cs="Times New Roman"/>
                <w:color w:val="000000"/>
                <w:sz w:val="18"/>
                <w:szCs w:val="18"/>
              </w:rPr>
              <w:t>全国性</w:t>
            </w: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注：主办或协办由主管部门、一级学会或示范中心联席会批准的会议。请按全球性、区域性、双边性、全国性等排序，并在类型栏中标明。</w:t>
      </w:r>
    </w:p>
    <w:p>
      <w:pPr>
        <w:spacing w:before="50" w:afterLines="50"/>
        <w:ind w:firstLine="470" w:firstLineChars="196"/>
        <w:rPr>
          <w:rFonts w:ascii="Times New Roman" w:hAnsi="Times New Roman" w:eastAsia="黑体" w:cs="Times New Roman"/>
          <w:color w:val="000000"/>
        </w:rPr>
      </w:pPr>
      <w:r>
        <w:rPr>
          <w:rFonts w:ascii="Times New Roman" w:hAnsi="Times New Roman" w:eastAsia="黑体" w:cs="Times New Roman"/>
          <w:color w:val="000000"/>
        </w:rPr>
        <w:t>3.参加大型会议情况</w:t>
      </w:r>
    </w:p>
    <w:tbl>
      <w:tblPr>
        <w:tblStyle w:val="29"/>
        <w:tblW w:w="8640"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35"/>
        <w:gridCol w:w="2925"/>
        <w:gridCol w:w="1035"/>
        <w:gridCol w:w="1980"/>
        <w:gridCol w:w="106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85" w:hRule="atLeast"/>
        </w:trPr>
        <w:tc>
          <w:tcPr>
            <w:tcW w:w="73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292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大会报告名称</w:t>
            </w:r>
          </w:p>
        </w:tc>
        <w:tc>
          <w:tcPr>
            <w:tcW w:w="103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报告人</w:t>
            </w:r>
          </w:p>
        </w:tc>
        <w:tc>
          <w:tcPr>
            <w:tcW w:w="198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会议名称</w:t>
            </w:r>
          </w:p>
        </w:tc>
        <w:tc>
          <w:tcPr>
            <w:tcW w:w="1065"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时间</w:t>
            </w:r>
          </w:p>
        </w:tc>
        <w:tc>
          <w:tcPr>
            <w:tcW w:w="90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Research Progress on Reproductive Physiology and Breeding Technology of Dairy Goat</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罗军</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第四届亚澳奶山羊国际会议</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2018.10.16-20</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越南</w:t>
            </w:r>
            <w:r>
              <w:rPr>
                <w:rFonts w:ascii="Times New Roman" w:hAnsi="Times New Roman" w:cs="Times New Roman"/>
                <w:color w:val="000000"/>
                <w:kern w:val="0"/>
                <w:sz w:val="18"/>
                <w:szCs w:val="18"/>
              </w:rPr>
              <w:t>茶荣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Research progress on molecular regulation of fatty acid metabolism in goat milk</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罗军</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第一届泌乳生物学国际研讨会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2018.08.13-15</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w:t>
            </w:r>
            <w:r>
              <w:rPr>
                <w:rFonts w:ascii="Times New Roman" w:hAnsi="Times New Roman" w:cs="Times New Roman"/>
                <w:color w:val="000000"/>
                <w:kern w:val="0"/>
                <w:sz w:val="18"/>
                <w:szCs w:val="18"/>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3</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Regulation of calcium metabolism, proliferation and apoptosis of goat mammary epithelial cells</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郑惠</w:t>
            </w:r>
            <w:r>
              <w:rPr>
                <w:rFonts w:ascii="Times New Roman" w:hAnsi="Times New Roman" w:cs="Times New Roman"/>
                <w:color w:val="000000"/>
                <w:kern w:val="0"/>
                <w:sz w:val="18"/>
                <w:szCs w:val="18"/>
              </w:rPr>
              <w:t>玲</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第一届泌乳生物学国际研讨会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2018.08.13-15</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w:t>
            </w:r>
            <w:r>
              <w:rPr>
                <w:rFonts w:ascii="Times New Roman" w:hAnsi="Times New Roman" w:cs="Times New Roman"/>
                <w:color w:val="000000"/>
                <w:kern w:val="0"/>
                <w:sz w:val="18"/>
                <w:szCs w:val="18"/>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4</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Akt Serine/Threonine Kinase 1 Regulates de Novo Fatty Acid Synthesis through the Mammalian Target of Rapamycin/Sterol Regulatory Element Binding Protein 1 Axis in DGMC</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史怀平</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第一届泌乳生物学国际研讨会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2018.08.13-15</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w:t>
            </w:r>
            <w:r>
              <w:rPr>
                <w:rFonts w:ascii="Times New Roman" w:hAnsi="Times New Roman" w:cs="Times New Roman"/>
                <w:color w:val="000000"/>
                <w:kern w:val="0"/>
                <w:sz w:val="18"/>
                <w:szCs w:val="18"/>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5</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Effects of algae supplementation on milk yield and fatty acid profile, rumen fermentation, and blood biochemical indicators in lactating dairy goats</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王平</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第一届泌乳生物学国际研讨会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2018.08.13-15</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w:t>
            </w:r>
            <w:r>
              <w:rPr>
                <w:rFonts w:ascii="Times New Roman" w:hAnsi="Times New Roman" w:cs="Times New Roman"/>
                <w:color w:val="000000"/>
                <w:kern w:val="0"/>
                <w:sz w:val="18"/>
                <w:szCs w:val="18"/>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6</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Whole-genome resequencing reveals world-wide ancestry and multiple adaptive introgression events of domesticated cattle</w:t>
            </w:r>
          </w:p>
        </w:tc>
        <w:tc>
          <w:tcPr>
            <w:tcW w:w="10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姜雨</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第一届国际化石与古基因组学大会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2018.04.17-04.19</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7</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The domestication and migration of Eurasian goats</w:t>
            </w:r>
          </w:p>
        </w:tc>
        <w:tc>
          <w:tcPr>
            <w:tcW w:w="10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姜雨</w:t>
            </w:r>
          </w:p>
        </w:tc>
        <w:tc>
          <w:tcPr>
            <w:tcW w:w="198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第二届世界绵羊大会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2018.10.15-10.18</w:t>
            </w:r>
          </w:p>
        </w:tc>
        <w:tc>
          <w:tcPr>
            <w:tcW w:w="90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6"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8</w:t>
            </w:r>
          </w:p>
        </w:tc>
        <w:tc>
          <w:tcPr>
            <w:tcW w:w="2925"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关于牦牛遗传育种、营养调控及产业化开发的思考与建议</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昝林森</w:t>
            </w:r>
          </w:p>
        </w:tc>
        <w:tc>
          <w:tcPr>
            <w:tcW w:w="198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第六届国际牦牛大会暨第一届青海牦牛产业大会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2018.08.27-30</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9</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家禽免疫营养表观遗传调控势</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杨小军</w:t>
            </w:r>
          </w:p>
        </w:tc>
        <w:tc>
          <w:tcPr>
            <w:tcW w:w="198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国际动物营养免疫与健康大会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018.0</w:t>
            </w:r>
            <w:r>
              <w:rPr>
                <w:rFonts w:hint="eastAsia" w:ascii="宋体" w:hAnsi="宋体" w:cs="宋体"/>
                <w:color w:val="000000"/>
                <w:kern w:val="0"/>
                <w:sz w:val="18"/>
                <w:szCs w:val="18"/>
              </w:rPr>
              <w:t>9</w:t>
            </w:r>
            <w:r>
              <w:rPr>
                <w:rFonts w:ascii="Times New Roman" w:hAnsi="Times New Roman" w:cs="Times New Roman"/>
                <w:color w:val="000000"/>
                <w:kern w:val="0"/>
                <w:sz w:val="18"/>
                <w:szCs w:val="18"/>
              </w:rPr>
              <w:t>.1</w:t>
            </w:r>
            <w:r>
              <w:rPr>
                <w:rFonts w:hint="eastAsia" w:ascii="宋体" w:hAnsi="宋体" w:cs="宋体"/>
                <w:color w:val="000000"/>
                <w:kern w:val="0"/>
                <w:sz w:val="18"/>
                <w:szCs w:val="18"/>
              </w:rPr>
              <w:t>7</w:t>
            </w:r>
            <w:r>
              <w:rPr>
                <w:rFonts w:ascii="Times New Roman" w:hAnsi="Times New Roman" w:cs="Times New Roman"/>
                <w:color w:val="000000"/>
                <w:kern w:val="0"/>
                <w:sz w:val="18"/>
                <w:szCs w:val="18"/>
              </w:rPr>
              <w:t>-</w:t>
            </w:r>
            <w:r>
              <w:rPr>
                <w:rFonts w:hint="eastAsia" w:ascii="宋体" w:hAnsi="宋体" w:cs="宋体"/>
                <w:color w:val="000000"/>
                <w:kern w:val="0"/>
                <w:sz w:val="18"/>
                <w:szCs w:val="18"/>
              </w:rPr>
              <w:t>19</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10</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家禽矿物元素营养调控势</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杨小军</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2018国际微量元素营养论坛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2018.09.12-14</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11</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尿石素A</w:t>
            </w:r>
            <w:r>
              <w:rPr>
                <w:rFonts w:hint="eastAsia" w:ascii="宋体" w:hAnsi="宋体" w:cs="宋体"/>
                <w:color w:val="000000"/>
                <w:kern w:val="0"/>
                <w:sz w:val="18"/>
                <w:szCs w:val="18"/>
              </w:rPr>
              <w:t>通过上调</w:t>
            </w:r>
            <w:r>
              <w:rPr>
                <w:rFonts w:ascii="Times New Roman" w:hAnsi="Times New Roman" w:cs="Times New Roman"/>
                <w:color w:val="000000"/>
                <w:kern w:val="0"/>
                <w:sz w:val="18"/>
                <w:szCs w:val="18"/>
              </w:rPr>
              <w:t>T3</w:t>
            </w:r>
            <w:r>
              <w:rPr>
                <w:rFonts w:hint="eastAsia" w:ascii="宋体" w:hAnsi="宋体" w:cs="宋体"/>
                <w:color w:val="000000"/>
                <w:kern w:val="0"/>
                <w:sz w:val="18"/>
                <w:szCs w:val="18"/>
              </w:rPr>
              <w:t>促进棕色脂肪功能及白脂棕色化</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吴江维</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第四届</w:t>
            </w:r>
            <w:r>
              <w:rPr>
                <w:rFonts w:ascii="Times New Roman" w:hAnsi="Times New Roman" w:cs="Times New Roman"/>
                <w:color w:val="000000"/>
                <w:kern w:val="0"/>
                <w:sz w:val="18"/>
                <w:szCs w:val="18"/>
              </w:rPr>
              <w:t>LipidALL</w:t>
            </w:r>
            <w:r>
              <w:rPr>
                <w:rFonts w:hint="eastAsia" w:ascii="宋体" w:hAnsi="宋体" w:cs="宋体"/>
                <w:color w:val="000000"/>
                <w:kern w:val="0"/>
                <w:sz w:val="18"/>
                <w:szCs w:val="18"/>
              </w:rPr>
              <w:t>国际脂代谢会议</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018.11.9</w:t>
            </w:r>
            <w:r>
              <w:rPr>
                <w:rFonts w:hint="eastAsia" w:ascii="宋体" w:hAnsi="宋体" w:cs="宋体"/>
                <w:color w:val="000000"/>
                <w:kern w:val="0"/>
                <w:sz w:val="18"/>
                <w:szCs w:val="18"/>
              </w:rPr>
              <w:t>-</w:t>
            </w:r>
            <w:r>
              <w:rPr>
                <w:rFonts w:ascii="Times New Roman" w:hAnsi="Times New Roman" w:cs="Times New Roman"/>
                <w:color w:val="000000"/>
                <w:kern w:val="0"/>
                <w:sz w:val="18"/>
                <w:szCs w:val="18"/>
              </w:rPr>
              <w:t>10</w:t>
            </w:r>
          </w:p>
        </w:tc>
        <w:tc>
          <w:tcPr>
            <w:tcW w:w="90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12</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脂肪沉积和肌肉发育的分子调控机制</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于太永</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2018未来农业国际高峰论坛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018.11.</w:t>
            </w:r>
            <w:r>
              <w:rPr>
                <w:rFonts w:hint="eastAsia" w:ascii="宋体" w:hAnsi="宋体" w:cs="宋体"/>
                <w:color w:val="000000"/>
                <w:kern w:val="0"/>
                <w:sz w:val="18"/>
                <w:szCs w:val="18"/>
              </w:rPr>
              <w:t>15</w:t>
            </w:r>
          </w:p>
        </w:tc>
        <w:tc>
          <w:tcPr>
            <w:tcW w:w="90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13</w:t>
            </w:r>
          </w:p>
        </w:tc>
        <w:tc>
          <w:tcPr>
            <w:tcW w:w="2925"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中国肉牛种质资源保护、挖掘及其选育改良</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昝林森</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第八届中国畜牧科论坛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2018.10.23-24</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4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14</w:t>
            </w:r>
          </w:p>
        </w:tc>
        <w:tc>
          <w:tcPr>
            <w:tcW w:w="2925"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基于“粮改饲”的肉牛产业科技创新</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昝林森</w:t>
            </w:r>
          </w:p>
        </w:tc>
        <w:tc>
          <w:tcPr>
            <w:tcW w:w="198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2018中国西部肉牛产业创新发展论坛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2018.06.28-29</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15</w:t>
            </w:r>
          </w:p>
        </w:tc>
        <w:tc>
          <w:tcPr>
            <w:tcW w:w="2925" w:type="dxa"/>
            <w:vAlign w:val="center"/>
          </w:tcPr>
          <w:p>
            <w:pPr>
              <w:widowControl/>
              <w:jc w:val="left"/>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肉牛产业化生产管理关键技术</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昝林森</w:t>
            </w:r>
          </w:p>
        </w:tc>
        <w:tc>
          <w:tcPr>
            <w:tcW w:w="198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2018首届南方肉牛羊产业发展高峰论坛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2018.11.24-25</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16</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畜禽肠道健康与消化道微生物互作研究进展</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杨小军</w:t>
            </w:r>
          </w:p>
        </w:tc>
        <w:tc>
          <w:tcPr>
            <w:tcW w:w="198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中国畜牧兽医学会家畜生态学分会年会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2018.11.08-11</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17</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近缘野生物种的基因渗入对家畜驯化和改良的影响</w:t>
            </w:r>
          </w:p>
        </w:tc>
        <w:tc>
          <w:tcPr>
            <w:tcW w:w="10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姜雨</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中国遗传学会第十次全国会员代表大会暨学术讨论会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2018.11.</w:t>
            </w:r>
            <w:r>
              <w:rPr>
                <w:rFonts w:ascii="Times New Roman" w:hAnsi="Times New Roman" w:cs="Times New Roman"/>
                <w:color w:val="000000"/>
                <w:kern w:val="0"/>
                <w:sz w:val="18"/>
                <w:szCs w:val="18"/>
              </w:rPr>
              <w:t>26-</w:t>
            </w:r>
            <w:r>
              <w:rPr>
                <w:rFonts w:hint="eastAsia" w:ascii="宋体" w:hAnsi="宋体" w:cs="宋体"/>
                <w:color w:val="000000"/>
                <w:kern w:val="0"/>
                <w:sz w:val="18"/>
                <w:szCs w:val="18"/>
              </w:rPr>
              <w:t>11.</w:t>
            </w:r>
            <w:r>
              <w:rPr>
                <w:rFonts w:ascii="Times New Roman" w:hAnsi="Times New Roman" w:cs="Times New Roman"/>
                <w:color w:val="000000"/>
                <w:kern w:val="0"/>
                <w:sz w:val="18"/>
                <w:szCs w:val="18"/>
              </w:rPr>
              <w:t>29</w:t>
            </w:r>
          </w:p>
        </w:tc>
        <w:tc>
          <w:tcPr>
            <w:tcW w:w="90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86"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18</w:t>
            </w:r>
          </w:p>
        </w:tc>
        <w:tc>
          <w:tcPr>
            <w:tcW w:w="292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Lipolysis-induced inflammatory response in grass carp Ctenopharyngodon idellus adipocytes: a preliminary study</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吉红</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第四届水产动物脂质营养与代谢学术研讨会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018.11.9-11</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中国青岛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19</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依托大学试验站，打造高层次应用型渔业发展专业硕士培养基地</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吉红</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全国农业硕士专业学位研究生教学案例和联合培养基地建设研讨会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018.01.19-20</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20</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兔文化构建及对兔业发展作用</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任战军</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中国兔业发展大会</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2018.11.03</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中国宁远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21</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家禽维生素营养势</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杨小军</w:t>
            </w:r>
          </w:p>
        </w:tc>
        <w:tc>
          <w:tcPr>
            <w:tcW w:w="198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中国维生素产业发展高层论坛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2018.12.14-14</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22</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家禽肠道微生物演替与精油营养势</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杨小军</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2018第二届饲用精油产业创新发展论坛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2018.11.20-22</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23</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日粮瘤胃和小肠可降解淀粉分配调控奶山羊机体代谢的微生物机制研究</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曹阳春</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第二届中国畜牧兽医学会动物营养分会青年学者讲坛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018.11.29-12.01</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8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24</w:t>
            </w:r>
          </w:p>
        </w:tc>
        <w:tc>
          <w:tcPr>
            <w:tcW w:w="292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利用</w:t>
            </w:r>
            <w:r>
              <w:rPr>
                <w:rFonts w:ascii="Times New Roman" w:hAnsi="Times New Roman" w:cs="Times New Roman"/>
                <w:color w:val="000000"/>
                <w:kern w:val="0"/>
                <w:sz w:val="18"/>
                <w:szCs w:val="18"/>
              </w:rPr>
              <w:t>FGF-23</w:t>
            </w:r>
            <w:r>
              <w:rPr>
                <w:rFonts w:hint="eastAsia" w:ascii="宋体" w:hAnsi="宋体" w:cs="宋体"/>
                <w:color w:val="000000"/>
                <w:kern w:val="0"/>
                <w:sz w:val="18"/>
                <w:szCs w:val="18"/>
              </w:rPr>
              <w:t>抗体降低家禽磷需要量和排泄量</w:t>
            </w:r>
          </w:p>
        </w:tc>
        <w:tc>
          <w:tcPr>
            <w:tcW w:w="103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任周正</w:t>
            </w:r>
          </w:p>
        </w:tc>
        <w:tc>
          <w:tcPr>
            <w:tcW w:w="19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第二届中国畜牧兽医学会动物营养分会青年学者讲坛</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r>
              <w:rPr>
                <w:rFonts w:ascii="Times New Roman" w:hAnsi="Times New Roman" w:cs="Times New Roman"/>
                <w:color w:val="000000"/>
                <w:kern w:val="0"/>
                <w:sz w:val="18"/>
                <w:szCs w:val="18"/>
              </w:rPr>
              <w:t>018.11.29-12.01</w:t>
            </w:r>
          </w:p>
        </w:tc>
        <w:tc>
          <w:tcPr>
            <w:tcW w:w="90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中国郑州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25</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动物泛基因组研究</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李冉</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中国生化学会农业分会第</w:t>
            </w:r>
            <w:r>
              <w:rPr>
                <w:rFonts w:hint="eastAsia" w:ascii="Times New Roman" w:hAnsi="Times New Roman" w:cs="Times New Roman"/>
                <w:color w:val="000000"/>
                <w:kern w:val="0"/>
                <w:sz w:val="18"/>
                <w:szCs w:val="18"/>
              </w:rPr>
              <w:t>17次会议</w:t>
            </w:r>
          </w:p>
        </w:tc>
        <w:tc>
          <w:tcPr>
            <w:tcW w:w="106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2018.08.17-19</w:t>
            </w:r>
          </w:p>
        </w:tc>
        <w:tc>
          <w:tcPr>
            <w:tcW w:w="900" w:type="dxa"/>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kern w:val="0"/>
                <w:sz w:val="18"/>
                <w:szCs w:val="18"/>
              </w:rPr>
              <w:t>中国</w:t>
            </w:r>
            <w:r>
              <w:rPr>
                <w:rFonts w:hint="eastAsia" w:ascii="宋体" w:hAnsi="宋体" w:cs="宋体"/>
                <w:color w:val="000000"/>
                <w:kern w:val="0"/>
                <w:sz w:val="18"/>
                <w:szCs w:val="18"/>
              </w:rPr>
              <w:t>长沙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kern w:val="0"/>
                <w:sz w:val="18"/>
                <w:szCs w:val="18"/>
              </w:rPr>
              <w:t>26</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我国肉牛产业发展形势与提质增效关键技术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宁夏（海原）第三届肉牛大赛暨高峰论坛</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2018.06.26-27</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宁夏海原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7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27</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新型职业农民创新创业应该注意的几个问题</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陕西省职业农民协会暨职业农民创业创新论坛</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2018.08. 05</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28</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全株玉米青贮制作关键技术与应用</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曹阳春</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陕西省</w:t>
            </w: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年“粮改饲”现场会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0</w:t>
            </w:r>
            <w:r>
              <w:rPr>
                <w:rFonts w:ascii="Times New Roman" w:hAnsi="Times New Roman" w:cs="Times New Roman"/>
                <w:color w:val="000000"/>
                <w:kern w:val="0"/>
                <w:sz w:val="18"/>
                <w:szCs w:val="18"/>
              </w:rPr>
              <w:t>9.27</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29</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奶牛营养与高效日粮配制</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曹阳春</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陕西省奶牛养殖集成技术推广培训班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09</w:t>
            </w:r>
            <w:r>
              <w:rPr>
                <w:rFonts w:ascii="Times New Roman" w:hAnsi="Times New Roman" w:cs="Times New Roman"/>
                <w:color w:val="000000"/>
                <w:kern w:val="0"/>
                <w:sz w:val="18"/>
                <w:szCs w:val="18"/>
              </w:rPr>
              <w:t>.29</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9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30</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中国黄牛种质资源保护、挖掘及选育改良研究—兼论秦川牛选育改良与平凉红牛产业开发</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平凉红牛产业发展战略研讨会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2018.03.</w:t>
            </w:r>
            <w:r>
              <w:rPr>
                <w:rFonts w:ascii="Times New Roman" w:hAnsi="Times New Roman" w:cs="Times New Roman"/>
                <w:color w:val="000000"/>
                <w:kern w:val="0"/>
                <w:sz w:val="18"/>
                <w:szCs w:val="18"/>
              </w:rPr>
              <w:t>2</w:t>
            </w:r>
            <w:r>
              <w:rPr>
                <w:rFonts w:hint="eastAsia" w:ascii="Times New Roman" w:hAnsi="Times New Roman" w:cs="Times New Roman"/>
                <w:color w:val="000000"/>
                <w:kern w:val="0"/>
                <w:sz w:val="18"/>
                <w:szCs w:val="18"/>
              </w:rPr>
              <w:t>3</w:t>
            </w:r>
            <w:r>
              <w:rPr>
                <w:rFonts w:ascii="Times New Roman" w:hAnsi="Times New Roman" w:cs="Times New Roman"/>
                <w:color w:val="000000"/>
                <w:kern w:val="0"/>
                <w:sz w:val="18"/>
                <w:szCs w:val="18"/>
              </w:rPr>
              <w:t>-24</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甘肃平凉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31</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农牧结合、种养循环——发展西北旱区养牛业思考与实践</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旱地农业绿色发展学术研讨会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2018.04.09</w:t>
            </w:r>
            <w:r>
              <w:rPr>
                <w:rFonts w:ascii="Times New Roman" w:hAnsi="Times New Roman" w:cs="Times New Roman"/>
                <w:color w:val="000000"/>
                <w:kern w:val="0"/>
                <w:sz w:val="18"/>
                <w:szCs w:val="18"/>
              </w:rPr>
              <w:t>-</w:t>
            </w:r>
            <w:r>
              <w:rPr>
                <w:rFonts w:hint="eastAsia" w:ascii="Times New Roman" w:hAnsi="Times New Roman" w:cs="Times New Roman"/>
                <w:color w:val="000000"/>
                <w:kern w:val="0"/>
                <w:sz w:val="18"/>
                <w:szCs w:val="18"/>
              </w:rPr>
              <w:t>10</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32</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肉牛生产基本知识和监测统计工作注意事项</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2018年农业农村部部肉羊和肉牛监测县统计员培训会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2018.05.15-16</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33</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我国肉牛产业发展现状、问题及对策建议</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镇巴县产业扶贫肉牛养殖技术培训班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2018.07.09-11</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陕西镇巴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7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34</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肉牛选育改良与健康养殖技术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西宁市畜牧兽医工作站技术培训会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2018.07.04-05</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青海西宁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4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35</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良种肉牛快速繁育及优质牛肉生产技术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福建省星火计划肉牛产业技术培训会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2018.08.12-13</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福建邵武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36</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我国肉牛产业发展现状、问题及对策建议</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宁夏六盘山区草畜产业暨肉牛产业链人才专题培训会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2018.10.27-28</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宁夏固原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37</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我国畜牧产业化与国际化发展现状及对策</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江苏省徐州市农技人员（畜牧兽医）培训班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2018.11.21</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38</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中国黄牛资源特点、选育改良与杂交优势利用</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全国种公牛站生产管理技术培训班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2018.11.22-23</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河南郑州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6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39</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中国黄牛资源特点、选育改良与杂交优势利用</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泾源县肉牛产业提质增效专题培训班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2018.11.29</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陕西杨凌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40</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肉牛选育改良与高效健康养殖技术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昝林森</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镇巴县肉牛产业技术培训会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2018.12.01</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陕西镇巴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41</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动物粪污无害化处理及资源化利用</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林  清</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伊川县肉牛养殖技术培训会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2018.01.10-12</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河南伊川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42</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肉牛高效养殖技术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赵春平</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伊川县肉牛养殖技术培训会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2018.01.10-12</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河南伊川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43</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现代肉牛健康养殖技术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辛亚平</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杨凌示范区现代农业科技（甘肃张掖）肉牛养殖技术培训班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2018.02.01-02</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甘肃张掖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1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44</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肉牛繁殖与不育</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江中良</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镇巴县产业扶贫肉牛养殖技术培训班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2018.07.09-11</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陕西镇巴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45</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肉牛高效养殖技术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赵春平</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镇巴县产业扶贫肉牛养殖技术培训班</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2018.07.09-11</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陕西镇巴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46</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肉牛饲料营养与高效育肥技术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龚月生</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宁夏六盘山区草畜产业暨肉牛产业链人才专题培训会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2018.10.27-28</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宁夏固原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47</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牛羊高效繁殖调控与双胎生产技术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江中良</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西宁市畜牧兽医工作站技术培训会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2018.07.04-05</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青海西宁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3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48</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动物医院麻醉前管理</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卢德章</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第七届西部宠物医师大会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2018年7月10日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四川成都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66"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49</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泪管系统疾病的诊治与手术新技术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卢德章</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中国畜牧兽医学会兽医外科学分会第23次学术研讨会暨九届二次理事会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2018年7月21日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江苏扬州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50</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小动物麻醉和围手术期疼痛管理</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卢德章</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陕西省小动物诊疗行业协会2018年年会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2018年12月25日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陕西西安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06"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51</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The role of Cryptosporidium ncRNA in regulation expression of host genes</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赵光辉</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第14届国际寄生虫学大会（ICOPA）</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2018.8.19-8.24</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韩国大邱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821"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52</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Effects of clock gene Bmal1 , starvation, and androgen on circadian rhythmicity of Elovl3 transcription in mouse liver</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陈华涛</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中国细胞生物学会2018年全国学术大会（壁报）</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2018.04.10-04.13</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江苏南京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53</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疯草内生真菌发酵培养代谢物研究</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 xml:space="preserve"> 路浩</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第十届国际有毒植物大会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2018.9.16-22</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美国圣乔治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54</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中国西部地区疯草灾害、毒性机制与防控技术</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赵宝玉</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第十届国际有毒植物大会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2018.9.16-23</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美国圣乔治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6"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55</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H9N2亚型禽流感病毒感染蛋鸡致输卵管组织损伤及对蛋品质量的影响</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王晶钰</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中国畜牧兽医学会兽医公共卫生学分会第六次学术研讨会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2018年7月22-25日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新疆乌鲁木齐市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56</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中国兽医产科学发展的历史</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靳亚平</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中国畜牧兽医学会兽医产科学分会第十四次学术研讨会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2018年10.25-28日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重庆北碚西南大学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5"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57</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天然草地毒害草发生规律与防控技术研究</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赵宝玉</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中国畜牧兽医学会动物毒物学分会第十五次学术研讨会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年</w:t>
            </w:r>
            <w:r>
              <w:rPr>
                <w:rFonts w:ascii="Times New Roman" w:hAnsi="Times New Roman" w:cs="Times New Roman"/>
                <w:color w:val="000000"/>
                <w:kern w:val="0"/>
                <w:sz w:val="18"/>
                <w:szCs w:val="18"/>
              </w:rPr>
              <w:t>10</w:t>
            </w:r>
            <w:r>
              <w:rPr>
                <w:rFonts w:hint="eastAsia" w:ascii="Times New Roman" w:hAnsi="Times New Roman" w:cs="Times New Roman"/>
                <w:color w:val="000000"/>
                <w:kern w:val="0"/>
                <w:sz w:val="18"/>
                <w:szCs w:val="18"/>
              </w:rPr>
              <w:t>月</w:t>
            </w:r>
            <w:r>
              <w:rPr>
                <w:rFonts w:ascii="Times New Roman" w:hAnsi="Times New Roman" w:cs="Times New Roman"/>
                <w:color w:val="000000"/>
                <w:kern w:val="0"/>
                <w:sz w:val="18"/>
                <w:szCs w:val="18"/>
              </w:rPr>
              <w:t>15</w:t>
            </w:r>
            <w:r>
              <w:rPr>
                <w:rFonts w:hint="eastAsia" w:ascii="Times New Roman" w:hAnsi="Times New Roman" w:cs="Times New Roman"/>
                <w:color w:val="000000"/>
                <w:kern w:val="0"/>
                <w:sz w:val="18"/>
                <w:szCs w:val="18"/>
              </w:rPr>
              <w:t>日～</w:t>
            </w:r>
            <w:r>
              <w:rPr>
                <w:rFonts w:ascii="Times New Roman" w:hAnsi="Times New Roman" w:cs="Times New Roman"/>
                <w:color w:val="000000"/>
                <w:kern w:val="0"/>
                <w:sz w:val="18"/>
                <w:szCs w:val="18"/>
              </w:rPr>
              <w:t>19</w:t>
            </w:r>
            <w:r>
              <w:rPr>
                <w:rFonts w:hint="eastAsia" w:ascii="Times New Roman" w:hAnsi="Times New Roman" w:cs="Times New Roman"/>
                <w:color w:val="000000"/>
                <w:kern w:val="0"/>
                <w:sz w:val="18"/>
                <w:szCs w:val="18"/>
              </w:rPr>
              <w:t>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湖南长沙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58</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Study on reproductive hormone disorder causing N-glycan structure change by swainsonine poisoning</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吴晨晨</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中国畜牧兽医学会动物毒物学分会第十五次学术研讨会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年</w:t>
            </w:r>
            <w:r>
              <w:rPr>
                <w:rFonts w:ascii="Times New Roman" w:hAnsi="Times New Roman" w:cs="Times New Roman"/>
                <w:color w:val="000000"/>
                <w:kern w:val="0"/>
                <w:sz w:val="18"/>
                <w:szCs w:val="18"/>
              </w:rPr>
              <w:t>10</w:t>
            </w:r>
            <w:r>
              <w:rPr>
                <w:rFonts w:hint="eastAsia" w:ascii="Times New Roman" w:hAnsi="Times New Roman" w:cs="Times New Roman"/>
                <w:color w:val="000000"/>
                <w:kern w:val="0"/>
                <w:sz w:val="18"/>
                <w:szCs w:val="18"/>
              </w:rPr>
              <w:t>月</w:t>
            </w:r>
            <w:r>
              <w:rPr>
                <w:rFonts w:ascii="Times New Roman" w:hAnsi="Times New Roman" w:cs="Times New Roman"/>
                <w:color w:val="000000"/>
                <w:kern w:val="0"/>
                <w:sz w:val="18"/>
                <w:szCs w:val="18"/>
              </w:rPr>
              <w:t>15</w:t>
            </w:r>
            <w:r>
              <w:rPr>
                <w:rFonts w:hint="eastAsia" w:ascii="Times New Roman" w:hAnsi="Times New Roman" w:cs="Times New Roman"/>
                <w:color w:val="000000"/>
                <w:kern w:val="0"/>
                <w:sz w:val="18"/>
                <w:szCs w:val="18"/>
              </w:rPr>
              <w:t>日～</w:t>
            </w:r>
            <w:r>
              <w:rPr>
                <w:rFonts w:ascii="Times New Roman" w:hAnsi="Times New Roman" w:cs="Times New Roman"/>
                <w:color w:val="000000"/>
                <w:kern w:val="0"/>
                <w:sz w:val="18"/>
                <w:szCs w:val="18"/>
              </w:rPr>
              <w:t>19</w:t>
            </w:r>
            <w:r>
              <w:rPr>
                <w:rFonts w:hint="eastAsia" w:ascii="Times New Roman" w:hAnsi="Times New Roman" w:cs="Times New Roman"/>
                <w:color w:val="000000"/>
                <w:kern w:val="0"/>
                <w:sz w:val="18"/>
                <w:szCs w:val="18"/>
              </w:rPr>
              <w:t>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湖南长沙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59</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《动物组织学与胚胎学》微课教学设计与建设研究</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卿素珠</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动物解剖及组织胚胎学分会第二十次学术研讨会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2018年8月4-8日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内蒙古呼和浩特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60</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以培养卓越兽医人才为目标的专业基础课程改革与实践</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刘腾飞</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动物解剖及组织胚胎学分会第二十次学术研讨会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2018年8月4-8日</w:t>
            </w:r>
          </w:p>
        </w:tc>
        <w:tc>
          <w:tcPr>
            <w:tcW w:w="90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内蒙古呼和浩特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735" w:type="dxa"/>
            <w:vAlign w:val="center"/>
          </w:tcPr>
          <w:p>
            <w:pPr>
              <w:widowControl/>
              <w:jc w:val="center"/>
              <w:textAlignment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61</w:t>
            </w:r>
          </w:p>
        </w:tc>
        <w:tc>
          <w:tcPr>
            <w:tcW w:w="292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动物福利与神经内分泌</w:t>
            </w:r>
          </w:p>
        </w:tc>
        <w:tc>
          <w:tcPr>
            <w:tcW w:w="1035"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赵善廷</w:t>
            </w:r>
          </w:p>
        </w:tc>
        <w:tc>
          <w:tcPr>
            <w:tcW w:w="1980" w:type="dxa"/>
            <w:vAlign w:val="center"/>
          </w:tcPr>
          <w:p>
            <w:pPr>
              <w:widowControl/>
              <w:jc w:val="center"/>
              <w:textAlignment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中国畜牧兽医协会动物福利与健康养殖分会第二次学术研讨会</w:t>
            </w:r>
          </w:p>
        </w:tc>
        <w:tc>
          <w:tcPr>
            <w:tcW w:w="1065" w:type="dxa"/>
            <w:vAlign w:val="center"/>
          </w:tcPr>
          <w:p>
            <w:pPr>
              <w:widowControl/>
              <w:jc w:val="center"/>
              <w:textAlignment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2018</w:t>
            </w:r>
            <w:r>
              <w:rPr>
                <w:rFonts w:hint="eastAsia" w:ascii="Times New Roman" w:hAnsi="Times New Roman" w:cs="Times New Roman"/>
                <w:color w:val="000000"/>
                <w:kern w:val="0"/>
                <w:sz w:val="18"/>
                <w:szCs w:val="18"/>
              </w:rPr>
              <w:t>年</w:t>
            </w:r>
            <w:r>
              <w:rPr>
                <w:rFonts w:ascii="Times New Roman" w:hAnsi="Times New Roman" w:cs="Times New Roman"/>
                <w:color w:val="000000"/>
                <w:kern w:val="0"/>
                <w:sz w:val="18"/>
                <w:szCs w:val="18"/>
              </w:rPr>
              <w:t>5</w:t>
            </w:r>
            <w:r>
              <w:rPr>
                <w:rFonts w:hint="eastAsia" w:ascii="Times New Roman" w:hAnsi="Times New Roman" w:cs="Times New Roman"/>
                <w:color w:val="000000"/>
                <w:kern w:val="0"/>
                <w:sz w:val="18"/>
                <w:szCs w:val="18"/>
              </w:rPr>
              <w:t>月</w:t>
            </w:r>
            <w:r>
              <w:rPr>
                <w:rFonts w:ascii="Times New Roman" w:hAnsi="Times New Roman" w:cs="Times New Roman"/>
                <w:color w:val="000000"/>
                <w:kern w:val="0"/>
                <w:sz w:val="18"/>
                <w:szCs w:val="18"/>
              </w:rPr>
              <w:t>17-20</w:t>
            </w:r>
            <w:r>
              <w:rPr>
                <w:rFonts w:hint="eastAsia" w:ascii="Times New Roman" w:hAnsi="Times New Roman" w:cs="Times New Roman"/>
                <w:color w:val="000000"/>
                <w:kern w:val="0"/>
                <w:sz w:val="18"/>
                <w:szCs w:val="18"/>
              </w:rPr>
              <w:t>日</w:t>
            </w:r>
          </w:p>
        </w:tc>
        <w:tc>
          <w:tcPr>
            <w:tcW w:w="900" w:type="dxa"/>
            <w:vAlign w:val="center"/>
          </w:tcPr>
          <w:p>
            <w:pPr>
              <w:widowControl/>
              <w:jc w:val="center"/>
              <w:textAlignment w:val="center"/>
              <w:rPr>
                <w:rFonts w:ascii="Times New Roman" w:hAnsi="Times New Roman" w:cs="Times New Roman"/>
                <w:color w:val="000000"/>
                <w:kern w:val="0"/>
                <w:sz w:val="18"/>
                <w:szCs w:val="18"/>
              </w:rPr>
            </w:pPr>
            <w:bookmarkStart w:id="6" w:name="OLE_LINK3"/>
            <w:r>
              <w:rPr>
                <w:rFonts w:hint="eastAsia" w:ascii="Times New Roman" w:hAnsi="Times New Roman" w:cs="Times New Roman"/>
                <w:color w:val="000000"/>
                <w:kern w:val="0"/>
                <w:sz w:val="18"/>
                <w:szCs w:val="18"/>
              </w:rPr>
              <w:t>山东济南</w:t>
            </w:r>
            <w:bookmarkEnd w:id="6"/>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注：大会报告：指特邀报告。</w:t>
      </w:r>
    </w:p>
    <w:p>
      <w:pPr>
        <w:spacing w:before="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4.承办竞赛情况</w:t>
      </w:r>
    </w:p>
    <w:tbl>
      <w:tblPr>
        <w:tblStyle w:val="29"/>
        <w:tblW w:w="898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2141"/>
        <w:gridCol w:w="1440"/>
        <w:gridCol w:w="1080"/>
        <w:gridCol w:w="906"/>
        <w:gridCol w:w="1614"/>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2141"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竞赛名称</w:t>
            </w:r>
          </w:p>
        </w:tc>
        <w:tc>
          <w:tcPr>
            <w:tcW w:w="144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参赛人数</w:t>
            </w:r>
          </w:p>
        </w:tc>
        <w:tc>
          <w:tcPr>
            <w:tcW w:w="108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负责人</w:t>
            </w:r>
          </w:p>
        </w:tc>
        <w:tc>
          <w:tcPr>
            <w:tcW w:w="906"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职称</w:t>
            </w:r>
          </w:p>
        </w:tc>
        <w:tc>
          <w:tcPr>
            <w:tcW w:w="1614"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起止时间</w:t>
            </w:r>
          </w:p>
        </w:tc>
        <w:tc>
          <w:tcPr>
            <w:tcW w:w="108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2141"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生物化学知识技能大赛</w:t>
            </w:r>
          </w:p>
        </w:tc>
        <w:tc>
          <w:tcPr>
            <w:tcW w:w="144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710</w:t>
            </w:r>
          </w:p>
        </w:tc>
        <w:tc>
          <w:tcPr>
            <w:tcW w:w="108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孙超</w:t>
            </w:r>
          </w:p>
        </w:tc>
        <w:tc>
          <w:tcPr>
            <w:tcW w:w="90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教授</w:t>
            </w:r>
          </w:p>
        </w:tc>
        <w:tc>
          <w:tcPr>
            <w:tcW w:w="161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w:t>
            </w:r>
            <w:r>
              <w:rPr>
                <w:rFonts w:ascii="Times New Roman" w:hAnsi="Times New Roman" w:cs="Times New Roman"/>
                <w:color w:val="000000"/>
                <w:sz w:val="21"/>
                <w:szCs w:val="21"/>
              </w:rPr>
              <w:t>月</w:t>
            </w:r>
            <w:r>
              <w:rPr>
                <w:rFonts w:hint="eastAsia" w:ascii="Times New Roman" w:hAnsi="Times New Roman" w:cs="Times New Roman"/>
                <w:color w:val="000000"/>
                <w:sz w:val="21"/>
                <w:szCs w:val="21"/>
              </w:rPr>
              <w:t>1</w:t>
            </w:r>
            <w:r>
              <w:rPr>
                <w:rFonts w:ascii="Times New Roman" w:hAnsi="Times New Roman" w:cs="Times New Roman"/>
                <w:color w:val="000000"/>
                <w:sz w:val="21"/>
                <w:szCs w:val="21"/>
              </w:rPr>
              <w:t>0日-1</w:t>
            </w:r>
            <w:r>
              <w:rPr>
                <w:rFonts w:hint="eastAsia" w:ascii="Times New Roman" w:hAnsi="Times New Roman" w:cs="Times New Roman"/>
                <w:color w:val="000000"/>
                <w:sz w:val="21"/>
                <w:szCs w:val="21"/>
              </w:rPr>
              <w:t>2</w:t>
            </w:r>
            <w:r>
              <w:rPr>
                <w:rFonts w:ascii="Times New Roman" w:hAnsi="Times New Roman" w:cs="Times New Roman"/>
                <w:color w:val="000000"/>
                <w:sz w:val="21"/>
                <w:szCs w:val="21"/>
              </w:rPr>
              <w:t>月20日</w:t>
            </w:r>
          </w:p>
        </w:tc>
        <w:tc>
          <w:tcPr>
            <w:tcW w:w="108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6" w:hRule="atLeast"/>
          <w:jc w:val="center"/>
        </w:trPr>
        <w:tc>
          <w:tcPr>
            <w:tcW w:w="72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2141"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动物生产技能大赛</w:t>
            </w:r>
          </w:p>
        </w:tc>
        <w:tc>
          <w:tcPr>
            <w:tcW w:w="144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63</w:t>
            </w:r>
          </w:p>
        </w:tc>
        <w:tc>
          <w:tcPr>
            <w:tcW w:w="108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孙超</w:t>
            </w:r>
          </w:p>
        </w:tc>
        <w:tc>
          <w:tcPr>
            <w:tcW w:w="90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教授</w:t>
            </w:r>
          </w:p>
        </w:tc>
        <w:tc>
          <w:tcPr>
            <w:tcW w:w="161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w:t>
            </w:r>
            <w:r>
              <w:rPr>
                <w:rFonts w:ascii="Times New Roman" w:hAnsi="Times New Roman" w:cs="Times New Roman"/>
                <w:color w:val="000000"/>
                <w:sz w:val="21"/>
                <w:szCs w:val="21"/>
              </w:rPr>
              <w:t>月-1</w:t>
            </w:r>
            <w:r>
              <w:rPr>
                <w:rFonts w:hint="eastAsia" w:ascii="Times New Roman" w:hAnsi="Times New Roman" w:cs="Times New Roman"/>
                <w:color w:val="000000"/>
                <w:sz w:val="21"/>
                <w:szCs w:val="21"/>
              </w:rPr>
              <w:t>1</w:t>
            </w:r>
            <w:r>
              <w:rPr>
                <w:rFonts w:ascii="Times New Roman" w:hAnsi="Times New Roman" w:cs="Times New Roman"/>
                <w:color w:val="000000"/>
                <w:sz w:val="21"/>
                <w:szCs w:val="21"/>
              </w:rPr>
              <w:t>月</w:t>
            </w:r>
          </w:p>
        </w:tc>
        <w:tc>
          <w:tcPr>
            <w:tcW w:w="108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03" w:hRule="atLeast"/>
          <w:jc w:val="center"/>
        </w:trPr>
        <w:tc>
          <w:tcPr>
            <w:tcW w:w="720"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3</w:t>
            </w:r>
          </w:p>
        </w:tc>
        <w:tc>
          <w:tcPr>
            <w:tcW w:w="2141"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第七届大学生兽医外科手术技能大赛</w:t>
            </w:r>
          </w:p>
        </w:tc>
        <w:tc>
          <w:tcPr>
            <w:tcW w:w="144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48</w:t>
            </w:r>
          </w:p>
        </w:tc>
        <w:tc>
          <w:tcPr>
            <w:tcW w:w="1080"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张翊华</w:t>
            </w:r>
          </w:p>
        </w:tc>
        <w:tc>
          <w:tcPr>
            <w:tcW w:w="906"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教授</w:t>
            </w:r>
          </w:p>
        </w:tc>
        <w:tc>
          <w:tcPr>
            <w:tcW w:w="161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10月13日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r>
    </w:tbl>
    <w:p>
      <w:pPr>
        <w:spacing w:beforeLines="5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注：学科竞赛：按国家级、省级、校级设立排序。</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5.开展科普活动情况</w:t>
      </w:r>
    </w:p>
    <w:tbl>
      <w:tblPr>
        <w:tblStyle w:val="2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4"/>
        <w:gridCol w:w="1830"/>
        <w:gridCol w:w="1392"/>
        <w:gridCol w:w="4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1830"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活动开展时间</w:t>
            </w:r>
          </w:p>
        </w:tc>
        <w:tc>
          <w:tcPr>
            <w:tcW w:w="1392"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参加人数</w:t>
            </w:r>
          </w:p>
        </w:tc>
        <w:tc>
          <w:tcPr>
            <w:tcW w:w="4356"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活动报道网址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2018.07.14-17</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189</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http://www.sohu.com/a/242012784_656585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2018.07.10-13</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102</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http://dyxy.nwsuaf.edu.cn/xydt/395518.htm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2018.08.02-04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112</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"http://dkxy.nwsuaf.edu.cn/xydt/396454.htm"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http://dkxy.nwsuaf.edu.cn/xydt/396454.htm</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2018.09.27</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http://bly.nwsuaf.com/content/5049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2018.06.01</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http://bly.nwsuaf.com/content/4923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2018.04.05</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"http://bly.nwsuaf.com/content/4778"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http://bly.nwsuaf.com/content/4778</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2018.04.05</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"http://bly.nwsuaf.com/content/4781"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http://bly.nwsuaf.com/content/4781</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2018.04.09</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"http://bly.nwsuaf.com/content/4794"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http://bly.nwsuaf.com/content/4794</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2018.04.10</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"http://bly.nwsuaf.com/content/4795"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http://bly.nwsuaf.com/content/4795</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2018.04.09</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"http://bly.nwsuaf.com/content/4796"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http://bly.nwsuaf.com/content/4796</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2018.04.09</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"http://bly.nwsuaf.com/content/4797"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http://bly.nwsuaf.com/content/4797</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12</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2018.04.10</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"http://bly.nwsuaf.com/content/4798"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http://bly.nwsuaf.com/content/4798</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13</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2018.04.10</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"http://bly.nwsuaf.com/content/4799"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http://bly.nwsuaf.com/content/4799</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14</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2018.04.11</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"http://bly.nwsuaf.com/content/4813"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http://bly.nwsuaf.com/content/4813</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2018.04.11</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"http://bly.nwsuaf.com/content/4811"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http://bly.nwsuaf.com/content/4811</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"http://bly.nwsuaf.com/content/4814"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http://bly.nwsuaf.com/content/4814</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17</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"http://bly.nwsuaf.com/content/4815"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http://bly.nwsuaf.com/content/4815</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18</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"http://bly.nwsuaf.com/content/4816"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http://bly.nwsuaf.com/content/4816</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19</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"http://bly.nwsuaf.com/content/4817"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http://bly.nwsuaf.com/content/4817</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2018.04.16</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700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"http://bly.nwsuaf.com/content/4825"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http://bly.nwsuaf.com/content/4825</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21</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2018.04.17</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"http://bly.nwsuaf.com/content/4826"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http://bly.nwsuaf.com/content/4826</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22</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2018.04.18</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"http://bly.nwsuaf.com/content/4827"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http://bly.nwsuaf.com/content/4827</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23</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2018.04.18</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"http://bly.nwsuaf.com/content/4828"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http://bly.nwsuaf.com/content/4828</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24</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2018.04.19</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"http://bly.nwsuaf.com/content/4830"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http://bly.nwsuaf.com/content/4830</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25</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2018.04.24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"http://bly.nwsuaf.com/content/4842"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http://bly.nwsuaf.com/content/4842</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26</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2018.04.26</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"http://bly.nwsuaf.com/content/4840"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http://bly.nwsuaf.com/content/4840</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27</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2018.04.24</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"http://bly.nwsuaf.com/content/4844"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http://bly.nwsuaf.com/content/4844</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28</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2018.05.03</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"http://bly.nwsuaf.com/content/4903"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http://bly.nwsuaf.com/content/4903</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29</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2018.05.11</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650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"http://bly.nwsuaf.com/content/4908"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http://bly.nwsuaf.com/content/4908</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2018.05.16</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160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"http://bly.nwsuaf.com/content/4910"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http://bly.nwsuaf.com/content/4910</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31</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2018.05.27</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"http://bly.nwsuaf.com/content/4917"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http://bly.nwsuaf.com/content/4917</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32</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2018.06.01</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"http://bly.nwsuaf.com/content/4923"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http://bly.nwsuaf.com/content/4923</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33</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2018.07.19</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"http://bly.nwsuaf.com/content/5001"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http://bly.nwsuaf.com/content/5001</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34</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2018.09.27</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fldChar w:fldCharType="begin"/>
            </w:r>
            <w:r>
              <w:rPr>
                <w:rFonts w:hint="default" w:ascii="Times New Roman" w:hAnsi="Times New Roman" w:eastAsia="仿宋" w:cs="Times New Roman"/>
                <w:color w:val="000000"/>
                <w:sz w:val="21"/>
                <w:szCs w:val="21"/>
              </w:rPr>
              <w:instrText xml:space="preserve"> HYPERLINK "http://bly.nwsuaf.com/content/5049" </w:instrText>
            </w:r>
            <w:r>
              <w:rPr>
                <w:rFonts w:hint="default" w:ascii="Times New Roman" w:hAnsi="Times New Roman" w:eastAsia="仿宋" w:cs="Times New Roman"/>
                <w:color w:val="000000"/>
                <w:sz w:val="21"/>
                <w:szCs w:val="21"/>
              </w:rPr>
              <w:fldChar w:fldCharType="separate"/>
            </w:r>
            <w:r>
              <w:rPr>
                <w:rFonts w:hint="default" w:ascii="Times New Roman" w:hAnsi="Times New Roman" w:eastAsia="仿宋" w:cs="Times New Roman"/>
                <w:color w:val="000000"/>
                <w:sz w:val="21"/>
                <w:szCs w:val="21"/>
              </w:rPr>
              <w:t>http://bly.nwsuaf.com/content/5049</w:t>
            </w:r>
            <w:r>
              <w:rPr>
                <w:rFonts w:hint="default" w:ascii="Times New Roman" w:hAnsi="Times New Roman" w:eastAsia="仿宋" w:cs="Times New Roman"/>
                <w:color w:val="000000"/>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35</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2018.10.25</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http://bly.nwsuaf.com/content/5107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44" w:type="dxa"/>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36</w:t>
            </w:r>
          </w:p>
        </w:tc>
        <w:tc>
          <w:tcPr>
            <w:tcW w:w="1830"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2018.11.06</w:t>
            </w:r>
          </w:p>
        </w:tc>
        <w:tc>
          <w:tcPr>
            <w:tcW w:w="1392"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1000</w:t>
            </w:r>
          </w:p>
        </w:tc>
        <w:tc>
          <w:tcPr>
            <w:tcW w:w="4356" w:type="dxa"/>
            <w:vAlign w:val="center"/>
          </w:tcPr>
          <w:p>
            <w:pPr>
              <w:jc w:val="center"/>
              <w:rPr>
                <w:rFonts w:hint="default" w:ascii="Times New Roman" w:hAnsi="Times New Roman" w:eastAsia="仿宋" w:cs="Times New Roman"/>
                <w:color w:val="000000"/>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"http://bly.nwsuaf.com/content/5152" </w:instrText>
            </w:r>
            <w:r>
              <w:rPr>
                <w:rFonts w:hint="default" w:ascii="Times New Roman" w:hAnsi="Times New Roman" w:cs="Times New Roman"/>
                <w:sz w:val="21"/>
                <w:szCs w:val="21"/>
              </w:rPr>
              <w:fldChar w:fldCharType="separate"/>
            </w:r>
            <w:r>
              <w:rPr>
                <w:rFonts w:hint="default" w:ascii="Times New Roman" w:hAnsi="Times New Roman" w:eastAsia="仿宋" w:cs="Times New Roman"/>
                <w:color w:val="000000"/>
                <w:sz w:val="21"/>
                <w:szCs w:val="21"/>
              </w:rPr>
              <w:t>http://bly.nwsuaf.com/content/5152</w:t>
            </w:r>
            <w:r>
              <w:rPr>
                <w:rFonts w:hint="default" w:ascii="Times New Roman" w:hAnsi="Times New Roman" w:eastAsia="仿宋" w:cs="Times New Roman"/>
                <w:color w:val="000000"/>
                <w:sz w:val="21"/>
                <w:szCs w:val="21"/>
              </w:rPr>
              <w:fldChar w:fldCharType="end"/>
            </w:r>
          </w:p>
        </w:tc>
      </w:tr>
    </w:tbl>
    <w:p>
      <w:pPr>
        <w:spacing w:beforeLines="50" w:afterLines="50"/>
        <w:ind w:firstLine="480" w:firstLineChars="200"/>
        <w:rPr>
          <w:rFonts w:ascii="Times New Roman" w:hAnsi="Times New Roman" w:eastAsia="黑体" w:cs="Times New Roman"/>
          <w:color w:val="000000"/>
        </w:rPr>
      </w:pP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6.接受进修人员情况</w:t>
      </w:r>
    </w:p>
    <w:tbl>
      <w:tblPr>
        <w:tblStyle w:val="2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992"/>
        <w:gridCol w:w="993"/>
        <w:gridCol w:w="2126"/>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817"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1134"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姓名</w:t>
            </w:r>
          </w:p>
        </w:tc>
        <w:tc>
          <w:tcPr>
            <w:tcW w:w="992"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性别</w:t>
            </w:r>
          </w:p>
        </w:tc>
        <w:tc>
          <w:tcPr>
            <w:tcW w:w="993"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职称</w:t>
            </w:r>
          </w:p>
        </w:tc>
        <w:tc>
          <w:tcPr>
            <w:tcW w:w="2126"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单位名称</w:t>
            </w:r>
          </w:p>
        </w:tc>
        <w:tc>
          <w:tcPr>
            <w:tcW w:w="2460" w:type="dxa"/>
          </w:tcPr>
          <w:p>
            <w:pPr>
              <w:spacing w:beforeLines="50"/>
              <w:jc w:val="center"/>
              <w:rPr>
                <w:rFonts w:ascii="Times New Roman" w:hAnsi="Times New Roman" w:eastAsia="黑体" w:cs="Times New Roman"/>
                <w:color w:val="000000"/>
              </w:rPr>
            </w:pPr>
            <w:r>
              <w:rPr>
                <w:rFonts w:ascii="Times New Roman" w:hAnsi="Times New Roman" w:eastAsia="黑体" w:cs="Times New Roman"/>
                <w:color w:val="000000"/>
              </w:rPr>
              <w:t>起止时间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jc w:val="center"/>
        </w:trPr>
        <w:tc>
          <w:tcPr>
            <w:tcW w:w="817" w:type="dxa"/>
            <w:vAlign w:val="center"/>
          </w:tcPr>
          <w:p>
            <w:pPr>
              <w:widowControl/>
              <w:jc w:val="center"/>
              <w:rPr>
                <w:rFonts w:ascii="宋体" w:hAnsi="宋体" w:cs="宋体"/>
                <w:color w:val="000000"/>
              </w:rPr>
            </w:pPr>
            <w:r>
              <w:rPr>
                <w:rFonts w:hint="eastAsia" w:ascii="宋体" w:hAnsi="宋体" w:cs="宋体"/>
                <w:kern w:val="0"/>
                <w:sz w:val="20"/>
                <w:szCs w:val="20"/>
              </w:rPr>
              <w:t>1</w:t>
            </w:r>
          </w:p>
        </w:tc>
        <w:tc>
          <w:tcPr>
            <w:tcW w:w="1134" w:type="dxa"/>
            <w:vAlign w:val="center"/>
          </w:tcPr>
          <w:p>
            <w:pPr>
              <w:widowControl/>
              <w:jc w:val="center"/>
              <w:rPr>
                <w:rFonts w:ascii="宋体" w:hAnsi="宋体" w:cs="宋体"/>
                <w:color w:val="000000"/>
                <w:sz w:val="28"/>
                <w:szCs w:val="28"/>
              </w:rPr>
            </w:pPr>
            <w:r>
              <w:rPr>
                <w:rFonts w:hint="eastAsia" w:ascii="宋体" w:hAnsi="宋体" w:cs="宋体"/>
                <w:kern w:val="0"/>
                <w:sz w:val="20"/>
                <w:szCs w:val="20"/>
              </w:rPr>
              <w:t>秦睿玲</w:t>
            </w:r>
          </w:p>
        </w:tc>
        <w:tc>
          <w:tcPr>
            <w:tcW w:w="992" w:type="dxa"/>
            <w:vAlign w:val="center"/>
          </w:tcPr>
          <w:p>
            <w:pPr>
              <w:widowControl/>
              <w:jc w:val="center"/>
              <w:rPr>
                <w:rFonts w:ascii="宋体" w:hAnsi="宋体" w:cs="宋体"/>
                <w:color w:val="000000"/>
                <w:sz w:val="28"/>
                <w:szCs w:val="28"/>
              </w:rPr>
            </w:pPr>
            <w:r>
              <w:rPr>
                <w:rFonts w:hint="eastAsia" w:ascii="宋体" w:hAnsi="宋体" w:cs="宋体"/>
                <w:kern w:val="0"/>
                <w:sz w:val="20"/>
                <w:szCs w:val="20"/>
              </w:rPr>
              <w:t>女</w:t>
            </w:r>
          </w:p>
        </w:tc>
        <w:tc>
          <w:tcPr>
            <w:tcW w:w="993" w:type="dxa"/>
            <w:vAlign w:val="center"/>
          </w:tcPr>
          <w:p>
            <w:pPr>
              <w:widowControl/>
              <w:jc w:val="center"/>
              <w:rPr>
                <w:rFonts w:ascii="宋体" w:hAnsi="宋体" w:cs="宋体"/>
                <w:color w:val="000000"/>
                <w:sz w:val="28"/>
                <w:szCs w:val="28"/>
              </w:rPr>
            </w:pPr>
            <w:r>
              <w:rPr>
                <w:rFonts w:hint="eastAsia" w:ascii="宋体" w:hAnsi="宋体" w:cs="宋体"/>
                <w:kern w:val="0"/>
                <w:sz w:val="20"/>
                <w:szCs w:val="20"/>
              </w:rPr>
              <w:t xml:space="preserve">副教授                  </w:t>
            </w:r>
          </w:p>
        </w:tc>
        <w:tc>
          <w:tcPr>
            <w:tcW w:w="2126" w:type="dxa"/>
            <w:vAlign w:val="center"/>
          </w:tcPr>
          <w:p>
            <w:pPr>
              <w:widowControl/>
              <w:jc w:val="center"/>
              <w:rPr>
                <w:rFonts w:ascii="宋体" w:hAnsi="宋体" w:cs="宋体"/>
                <w:color w:val="000000"/>
                <w:sz w:val="28"/>
                <w:szCs w:val="28"/>
              </w:rPr>
            </w:pPr>
            <w:r>
              <w:rPr>
                <w:rFonts w:hint="eastAsia" w:ascii="宋体" w:hAnsi="宋体" w:cs="宋体"/>
                <w:kern w:val="0"/>
                <w:sz w:val="20"/>
                <w:szCs w:val="20"/>
              </w:rPr>
              <w:t>河北北方学院 动物科技学院</w:t>
            </w:r>
          </w:p>
        </w:tc>
        <w:tc>
          <w:tcPr>
            <w:tcW w:w="2460" w:type="dxa"/>
            <w:vAlign w:val="center"/>
          </w:tcPr>
          <w:p>
            <w:pPr>
              <w:widowControl/>
              <w:jc w:val="center"/>
              <w:rPr>
                <w:rFonts w:ascii="宋体" w:hAnsi="宋体" w:cs="宋体"/>
                <w:color w:val="000000"/>
                <w:sz w:val="28"/>
                <w:szCs w:val="28"/>
              </w:rPr>
            </w:pPr>
            <w:r>
              <w:rPr>
                <w:rFonts w:hint="eastAsia" w:ascii="宋体" w:hAnsi="宋体" w:cs="宋体"/>
                <w:kern w:val="0"/>
                <w:sz w:val="20"/>
                <w:szCs w:val="20"/>
              </w:rPr>
              <w:t>2018年9月-2019年9月</w:t>
            </w:r>
          </w:p>
        </w:tc>
      </w:tr>
    </w:tbl>
    <w:p>
      <w:pPr>
        <w:spacing w:line="360" w:lineRule="auto"/>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注：进修人员单位名称填写学校，起止时间以正式文件为准。</w:t>
      </w:r>
    </w:p>
    <w:p>
      <w:pPr>
        <w:spacing w:beforeLines="50" w:afterLines="50"/>
        <w:ind w:firstLine="480" w:firstLineChars="200"/>
        <w:rPr>
          <w:rFonts w:ascii="Times New Roman" w:hAnsi="Times New Roman" w:eastAsia="黑体" w:cs="Times New Roman"/>
          <w:color w:val="000000"/>
        </w:rPr>
      </w:pPr>
      <w:r>
        <w:rPr>
          <w:rFonts w:ascii="Times New Roman" w:hAnsi="Times New Roman" w:eastAsia="黑体" w:cs="Times New Roman"/>
          <w:color w:val="000000"/>
        </w:rPr>
        <w:t>7.承办培训情况</w:t>
      </w:r>
    </w:p>
    <w:tbl>
      <w:tblPr>
        <w:tblStyle w:val="29"/>
        <w:tblW w:w="824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4"/>
        <w:gridCol w:w="2254"/>
        <w:gridCol w:w="769"/>
        <w:gridCol w:w="1080"/>
        <w:gridCol w:w="867"/>
        <w:gridCol w:w="1653"/>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序号</w:t>
            </w:r>
          </w:p>
        </w:tc>
        <w:tc>
          <w:tcPr>
            <w:tcW w:w="2254"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培训项目名称</w:t>
            </w:r>
          </w:p>
        </w:tc>
        <w:tc>
          <w:tcPr>
            <w:tcW w:w="769"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培训人数</w:t>
            </w:r>
          </w:p>
        </w:tc>
        <w:tc>
          <w:tcPr>
            <w:tcW w:w="108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负责人</w:t>
            </w:r>
          </w:p>
        </w:tc>
        <w:tc>
          <w:tcPr>
            <w:tcW w:w="867"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职称</w:t>
            </w:r>
          </w:p>
        </w:tc>
        <w:tc>
          <w:tcPr>
            <w:tcW w:w="1653"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起止时间</w:t>
            </w:r>
          </w:p>
        </w:tc>
        <w:tc>
          <w:tcPr>
            <w:tcW w:w="1080" w:type="dxa"/>
            <w:vAlign w:val="center"/>
          </w:tcPr>
          <w:p>
            <w:pPr>
              <w:jc w:val="center"/>
              <w:rPr>
                <w:rFonts w:ascii="Times New Roman" w:hAnsi="Times New Roman" w:eastAsia="黑体" w:cs="Times New Roman"/>
                <w:color w:val="000000"/>
              </w:rPr>
            </w:pPr>
            <w:r>
              <w:rPr>
                <w:rFonts w:ascii="Times New Roman" w:hAnsi="Times New Roman" w:eastAsia="黑体" w:cs="Times New Roman"/>
                <w:color w:val="000000"/>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中药材培训班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25</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6月25日-30日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云南农广校高等函授教育业务培训班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35</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9月12日-18日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4" w:hRule="atLeast"/>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宁县现代苹果产业科技带头人培训班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100</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9月10日-16日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云南省农广校2018年农业职业经理人培训班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33</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11月2日-8日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宁县现代果业产销一体化基层干部培训班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50</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11月6日—9日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宁县贫困村创业致富带头人养殖技术培训班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50</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王力</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副书记</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11月16日-30日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莒县畜牧兽医局技术骨干培训班（第一期）</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22</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唐万寿</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副院长</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5月14-20日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8</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莒县畜牧兽医局技术骨干培训班（第二期）</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21</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唐万寿</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副院长</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5月14-20日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兽医生物安全与疫病防控培训班（1）</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26</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唐万寿</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副院长</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7月3-6日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兽医生物安全与疫病防控培训班（2）</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26</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唐万寿</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副院长</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7月3-6日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4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11</w:t>
            </w:r>
          </w:p>
        </w:tc>
        <w:tc>
          <w:tcPr>
            <w:tcW w:w="2254"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莒县农产品精深加工企业负责人能力提升培训班</w:t>
            </w:r>
          </w:p>
        </w:tc>
        <w:tc>
          <w:tcPr>
            <w:tcW w:w="769"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28</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唐万寿</w:t>
            </w:r>
          </w:p>
        </w:tc>
        <w:tc>
          <w:tcPr>
            <w:tcW w:w="867"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副院长</w:t>
            </w:r>
          </w:p>
        </w:tc>
        <w:tc>
          <w:tcPr>
            <w:tcW w:w="1653"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7月6-9日</w:t>
            </w:r>
          </w:p>
        </w:tc>
        <w:tc>
          <w:tcPr>
            <w:tcW w:w="1080" w:type="dxa"/>
            <w:vAlign w:val="center"/>
          </w:tcPr>
          <w:p>
            <w:pPr>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8</w:t>
            </w:r>
          </w:p>
        </w:tc>
      </w:tr>
    </w:tbl>
    <w:p>
      <w:pPr>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注：培训项目以正式文件为准，培训人数以签到表为准。</w:t>
      </w:r>
    </w:p>
    <w:p>
      <w:pPr>
        <w:ind w:firstLine="560" w:firstLineChars="200"/>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（三）安全工作情况</w:t>
      </w:r>
    </w:p>
    <w:tbl>
      <w:tblPr>
        <w:tblStyle w:val="29"/>
        <w:tblW w:w="790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0"/>
        <w:gridCol w:w="2131"/>
        <w:gridCol w:w="3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4261" w:type="dxa"/>
            <w:gridSpan w:val="2"/>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安全教育培训情况</w:t>
            </w:r>
          </w:p>
        </w:tc>
        <w:tc>
          <w:tcPr>
            <w:tcW w:w="3645" w:type="dxa"/>
          </w:tcPr>
          <w:p>
            <w:pPr>
              <w:adjustRightInd w:val="0"/>
              <w:snapToGrid w:val="0"/>
              <w:jc w:val="right"/>
              <w:rPr>
                <w:rFonts w:ascii="Times New Roman" w:hAnsi="Times New Roman" w:eastAsia="楷体" w:cs="Times New Roman"/>
                <w:color w:val="000000"/>
              </w:rPr>
            </w:pPr>
            <w:r>
              <w:rPr>
                <w:rFonts w:hint="eastAsia" w:ascii="Times New Roman" w:hAnsi="Times New Roman" w:eastAsia="楷体" w:cs="Times New Roman"/>
                <w:color w:val="000000"/>
              </w:rPr>
              <w:t>960</w:t>
            </w:r>
            <w:r>
              <w:rPr>
                <w:rFonts w:ascii="Times New Roman" w:hAnsi="Times New Roman" w:eastAsia="楷体" w:cs="Times New Roman"/>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906" w:type="dxa"/>
            <w:gridSpan w:val="3"/>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是否发生安全责任事故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1" w:type="dxa"/>
            <w:gridSpan w:val="2"/>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伤亡人数（人）</w:t>
            </w:r>
          </w:p>
        </w:tc>
        <w:tc>
          <w:tcPr>
            <w:tcW w:w="3645" w:type="dxa"/>
            <w:vMerge w:val="restart"/>
            <w:vAlign w:val="center"/>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未发生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伤</w:t>
            </w:r>
          </w:p>
        </w:tc>
        <w:tc>
          <w:tcPr>
            <w:tcW w:w="2131" w:type="dxa"/>
          </w:tcPr>
          <w:p>
            <w:pPr>
              <w:adjustRightInd w:val="0"/>
              <w:snapToGrid w:val="0"/>
              <w:jc w:val="center"/>
              <w:rPr>
                <w:rFonts w:ascii="Times New Roman" w:hAnsi="Times New Roman" w:eastAsia="黑体" w:cs="Times New Roman"/>
                <w:color w:val="000000"/>
              </w:rPr>
            </w:pPr>
            <w:r>
              <w:rPr>
                <w:rFonts w:ascii="Times New Roman" w:hAnsi="Times New Roman" w:eastAsia="黑体" w:cs="Times New Roman"/>
                <w:color w:val="000000"/>
              </w:rPr>
              <w:t>亡</w:t>
            </w:r>
          </w:p>
        </w:tc>
        <w:tc>
          <w:tcPr>
            <w:tcW w:w="3645" w:type="dxa"/>
            <w:vMerge w:val="continue"/>
          </w:tcPr>
          <w:p>
            <w:pPr>
              <w:adjustRightInd w:val="0"/>
              <w:snapToGrid w:val="0"/>
              <w:rPr>
                <w:rFonts w:ascii="Times New Roman" w:hAnsi="Times New Roman" w:eastAsia="仿宋" w:cs="Times New Roman"/>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30" w:type="dxa"/>
          </w:tcPr>
          <w:p>
            <w:pPr>
              <w:adjustRightInd w:val="0"/>
              <w:snapToGrid w:val="0"/>
              <w:jc w:val="center"/>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rPr>
              <w:t>0</w:t>
            </w:r>
          </w:p>
        </w:tc>
        <w:tc>
          <w:tcPr>
            <w:tcW w:w="2131" w:type="dxa"/>
          </w:tcPr>
          <w:p>
            <w:pPr>
              <w:adjustRightInd w:val="0"/>
              <w:snapToGrid w:val="0"/>
              <w:jc w:val="center"/>
              <w:rPr>
                <w:rFonts w:ascii="Times New Roman" w:hAnsi="Times New Roman" w:eastAsia="仿宋" w:cs="Times New Roman"/>
                <w:color w:val="000000"/>
                <w:sz w:val="28"/>
                <w:szCs w:val="28"/>
              </w:rPr>
            </w:pPr>
            <w:r>
              <w:rPr>
                <w:rFonts w:hint="eastAsia" w:ascii="Times New Roman" w:hAnsi="Times New Roman" w:eastAsia="仿宋" w:cs="Times New Roman"/>
                <w:color w:val="000000"/>
                <w:sz w:val="28"/>
                <w:szCs w:val="28"/>
              </w:rPr>
              <w:t>0</w:t>
            </w:r>
          </w:p>
        </w:tc>
        <w:tc>
          <w:tcPr>
            <w:tcW w:w="3645" w:type="dxa"/>
          </w:tcPr>
          <w:p>
            <w:pPr>
              <w:adjustRightInd w:val="0"/>
              <w:snapToGrid w:val="0"/>
              <w:jc w:val="center"/>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w:t>
            </w:r>
          </w:p>
        </w:tc>
      </w:tr>
    </w:tbl>
    <w:p>
      <w:pPr>
        <w:adjustRightInd w:val="0"/>
        <w:snapToGrid w:val="0"/>
        <w:ind w:firstLine="480" w:firstLineChars="200"/>
        <w:rPr>
          <w:rFonts w:ascii="Times New Roman" w:hAnsi="Times New Roman" w:eastAsia="楷体" w:cs="Times New Roman"/>
          <w:color w:val="000000"/>
        </w:rPr>
      </w:pPr>
      <w:r>
        <w:rPr>
          <w:rFonts w:ascii="Times New Roman" w:hAnsi="Times New Roman" w:eastAsia="楷体" w:cs="Times New Roman"/>
          <w:color w:val="000000"/>
        </w:rPr>
        <w:t>注：安全责任事故以所在高校发布的安全责任事故通报文件为准。如未发生安全责任事故，请在其下方表格打钩。如发生安全责任事故，请说明伤亡人数。</w:t>
      </w:r>
    </w:p>
    <w:p>
      <w:pPr>
        <w:widowControl/>
        <w:jc w:val="left"/>
        <w:rPr>
          <w:rFonts w:ascii="Times New Roman" w:hAnsi="Times New Roman" w:eastAsia="黑体" w:cs="Times New Roman"/>
          <w:b/>
          <w:bCs/>
          <w:color w:val="000000"/>
          <w:sz w:val="32"/>
          <w:szCs w:val="32"/>
        </w:rPr>
      </w:pPr>
      <w:r>
        <w:rPr>
          <w:rFonts w:ascii="Times New Roman" w:hAnsi="Times New Roman" w:eastAsia="黑体" w:cs="Times New Roman"/>
          <w:b/>
          <w:bCs/>
          <w:color w:val="000000"/>
          <w:sz w:val="32"/>
          <w:szCs w:val="32"/>
        </w:rPr>
        <w:br w:type="page"/>
      </w:r>
    </w:p>
    <w:p>
      <w:pPr>
        <w:widowControl/>
        <w:spacing w:line="560" w:lineRule="exact"/>
        <w:rPr>
          <w:rFonts w:ascii="Times New Roman" w:hAnsi="Times New Roman" w:eastAsia="仿宋" w:cs="Times New Roman"/>
          <w:color w:val="000000"/>
          <w:kern w:val="0"/>
          <w:sz w:val="32"/>
          <w:szCs w:val="32"/>
        </w:rPr>
      </w:pPr>
      <w:r>
        <w:rPr>
          <w:rFonts w:hint="eastAsia" w:ascii="Times New Roman" w:hAnsi="Times New Roman" w:eastAsia="仿宋" w:cs="Times New Roman"/>
          <w:color w:val="000000"/>
          <w:kern w:val="0"/>
          <w:sz w:val="32"/>
          <w:szCs w:val="32"/>
        </w:rPr>
        <w:drawing>
          <wp:anchor distT="0" distB="0" distL="114300" distR="114300" simplePos="0" relativeHeight="251658240" behindDoc="0" locked="0" layoutInCell="1" allowOverlap="1">
            <wp:simplePos x="0" y="0"/>
            <wp:positionH relativeFrom="column">
              <wp:posOffset>-1095375</wp:posOffset>
            </wp:positionH>
            <wp:positionV relativeFrom="paragraph">
              <wp:posOffset>-866775</wp:posOffset>
            </wp:positionV>
            <wp:extent cx="7482840" cy="10567670"/>
            <wp:effectExtent l="0" t="0" r="3810" b="5080"/>
            <wp:wrapSquare wrapText="bothSides"/>
            <wp:docPr id="9" name="图片 9" descr="动物科学-中心年度报告尾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动物科学-中心年度报告尾页 001"/>
                    <pic:cNvPicPr>
                      <a:picLocks noChangeAspect="1"/>
                    </pic:cNvPicPr>
                  </pic:nvPicPr>
                  <pic:blipFill>
                    <a:blip r:embed="rId33" cstate="print"/>
                    <a:stretch>
                      <a:fillRect/>
                    </a:stretch>
                  </pic:blipFill>
                  <pic:spPr>
                    <a:xfrm>
                      <a:off x="0" y="0"/>
                      <a:ext cx="7482840" cy="10567670"/>
                    </a:xfrm>
                    <a:prstGeom prst="rect">
                      <a:avLst/>
                    </a:prstGeom>
                  </pic:spPr>
                </pic:pic>
              </a:graphicData>
            </a:graphic>
          </wp:anchor>
        </w:drawing>
      </w:r>
    </w:p>
    <w:sectPr>
      <w:footerReference r:id="rId4" w:type="default"/>
      <w:pgSz w:w="11900" w:h="16840"/>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小标宋简体">
    <w:altName w:val="微软雅黑"/>
    <w:panose1 w:val="03000509000000000000"/>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85</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89</w:t>
    </w:r>
    <w:r>
      <w:rPr>
        <w:sz w:val="21"/>
        <w:szCs w:val="21"/>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oNotHyphenateCaps/>
  <w:drawingGridVerticalSpacing w:val="200"/>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06"/>
    <w:rsid w:val="00013213"/>
    <w:rsid w:val="00013A36"/>
    <w:rsid w:val="00014EA7"/>
    <w:rsid w:val="00016050"/>
    <w:rsid w:val="000204AE"/>
    <w:rsid w:val="00021AB9"/>
    <w:rsid w:val="00022EBD"/>
    <w:rsid w:val="000256F6"/>
    <w:rsid w:val="00026C70"/>
    <w:rsid w:val="000318E3"/>
    <w:rsid w:val="00043D17"/>
    <w:rsid w:val="000440D0"/>
    <w:rsid w:val="00044F09"/>
    <w:rsid w:val="00052154"/>
    <w:rsid w:val="000603E8"/>
    <w:rsid w:val="000645C7"/>
    <w:rsid w:val="00066842"/>
    <w:rsid w:val="000679A9"/>
    <w:rsid w:val="000725DB"/>
    <w:rsid w:val="00076F73"/>
    <w:rsid w:val="00077067"/>
    <w:rsid w:val="00081818"/>
    <w:rsid w:val="000830BC"/>
    <w:rsid w:val="00084B5E"/>
    <w:rsid w:val="000902F6"/>
    <w:rsid w:val="000912C2"/>
    <w:rsid w:val="000A252B"/>
    <w:rsid w:val="000A2AE4"/>
    <w:rsid w:val="000A681B"/>
    <w:rsid w:val="000A6935"/>
    <w:rsid w:val="000A74CD"/>
    <w:rsid w:val="000B0108"/>
    <w:rsid w:val="000B220C"/>
    <w:rsid w:val="000B4DDF"/>
    <w:rsid w:val="000B530B"/>
    <w:rsid w:val="000B5FF0"/>
    <w:rsid w:val="000C3746"/>
    <w:rsid w:val="000C4FC6"/>
    <w:rsid w:val="000C5D2F"/>
    <w:rsid w:val="000C6FFE"/>
    <w:rsid w:val="000D19EB"/>
    <w:rsid w:val="000D3D14"/>
    <w:rsid w:val="000E575A"/>
    <w:rsid w:val="000E59C5"/>
    <w:rsid w:val="000F016C"/>
    <w:rsid w:val="000F104C"/>
    <w:rsid w:val="000F17FD"/>
    <w:rsid w:val="000F4039"/>
    <w:rsid w:val="000F5012"/>
    <w:rsid w:val="000F70C7"/>
    <w:rsid w:val="001007DE"/>
    <w:rsid w:val="001025C0"/>
    <w:rsid w:val="0010287C"/>
    <w:rsid w:val="00103C07"/>
    <w:rsid w:val="00103CCC"/>
    <w:rsid w:val="00112BD9"/>
    <w:rsid w:val="001156F0"/>
    <w:rsid w:val="00117636"/>
    <w:rsid w:val="00125564"/>
    <w:rsid w:val="00127599"/>
    <w:rsid w:val="00130290"/>
    <w:rsid w:val="00133BB8"/>
    <w:rsid w:val="00134552"/>
    <w:rsid w:val="00135ACC"/>
    <w:rsid w:val="00136C60"/>
    <w:rsid w:val="00136D84"/>
    <w:rsid w:val="00141AFD"/>
    <w:rsid w:val="0014253F"/>
    <w:rsid w:val="00144DD0"/>
    <w:rsid w:val="00150A8D"/>
    <w:rsid w:val="00153C5C"/>
    <w:rsid w:val="001552BB"/>
    <w:rsid w:val="00166880"/>
    <w:rsid w:val="00166B56"/>
    <w:rsid w:val="00167874"/>
    <w:rsid w:val="00167BFA"/>
    <w:rsid w:val="0017057D"/>
    <w:rsid w:val="00170DB8"/>
    <w:rsid w:val="001713E6"/>
    <w:rsid w:val="00171434"/>
    <w:rsid w:val="0017465E"/>
    <w:rsid w:val="00180857"/>
    <w:rsid w:val="00182D26"/>
    <w:rsid w:val="001961AF"/>
    <w:rsid w:val="001A082F"/>
    <w:rsid w:val="001A0896"/>
    <w:rsid w:val="001A2464"/>
    <w:rsid w:val="001A313A"/>
    <w:rsid w:val="001A3A3E"/>
    <w:rsid w:val="001A3CA3"/>
    <w:rsid w:val="001A53E4"/>
    <w:rsid w:val="001A7536"/>
    <w:rsid w:val="001B1843"/>
    <w:rsid w:val="001B3A67"/>
    <w:rsid w:val="001C0BC8"/>
    <w:rsid w:val="001C1FD1"/>
    <w:rsid w:val="001C2413"/>
    <w:rsid w:val="001D2508"/>
    <w:rsid w:val="001D3206"/>
    <w:rsid w:val="001D4A70"/>
    <w:rsid w:val="001D6502"/>
    <w:rsid w:val="001D6AEC"/>
    <w:rsid w:val="001E02EF"/>
    <w:rsid w:val="001E02F5"/>
    <w:rsid w:val="001E1DCA"/>
    <w:rsid w:val="001E1EA8"/>
    <w:rsid w:val="001E382A"/>
    <w:rsid w:val="001E3B83"/>
    <w:rsid w:val="001E4759"/>
    <w:rsid w:val="001E508E"/>
    <w:rsid w:val="001E51EE"/>
    <w:rsid w:val="001F50D6"/>
    <w:rsid w:val="001F574E"/>
    <w:rsid w:val="001F6AB2"/>
    <w:rsid w:val="00203388"/>
    <w:rsid w:val="0020419F"/>
    <w:rsid w:val="00204D14"/>
    <w:rsid w:val="00205226"/>
    <w:rsid w:val="00207611"/>
    <w:rsid w:val="00210E71"/>
    <w:rsid w:val="00211348"/>
    <w:rsid w:val="00212586"/>
    <w:rsid w:val="002127DB"/>
    <w:rsid w:val="00212F7B"/>
    <w:rsid w:val="00221897"/>
    <w:rsid w:val="00224105"/>
    <w:rsid w:val="00234105"/>
    <w:rsid w:val="00246D1F"/>
    <w:rsid w:val="00260E32"/>
    <w:rsid w:val="00263513"/>
    <w:rsid w:val="002700C6"/>
    <w:rsid w:val="002718A2"/>
    <w:rsid w:val="0027298D"/>
    <w:rsid w:val="00274DA3"/>
    <w:rsid w:val="002805AA"/>
    <w:rsid w:val="00280E79"/>
    <w:rsid w:val="00285158"/>
    <w:rsid w:val="00285B3E"/>
    <w:rsid w:val="00290860"/>
    <w:rsid w:val="00290DA3"/>
    <w:rsid w:val="002951F7"/>
    <w:rsid w:val="0029750A"/>
    <w:rsid w:val="00297DC1"/>
    <w:rsid w:val="002A0D19"/>
    <w:rsid w:val="002A1315"/>
    <w:rsid w:val="002A25E9"/>
    <w:rsid w:val="002A53B3"/>
    <w:rsid w:val="002A64E9"/>
    <w:rsid w:val="002A7661"/>
    <w:rsid w:val="002C06B9"/>
    <w:rsid w:val="002C4144"/>
    <w:rsid w:val="002C669C"/>
    <w:rsid w:val="002C7EB8"/>
    <w:rsid w:val="002D2AE1"/>
    <w:rsid w:val="002D4951"/>
    <w:rsid w:val="002E1DBA"/>
    <w:rsid w:val="002E425C"/>
    <w:rsid w:val="002E5DA1"/>
    <w:rsid w:val="002E757A"/>
    <w:rsid w:val="002F56DB"/>
    <w:rsid w:val="002F7FE9"/>
    <w:rsid w:val="00300C08"/>
    <w:rsid w:val="003029A4"/>
    <w:rsid w:val="0030628B"/>
    <w:rsid w:val="003073F4"/>
    <w:rsid w:val="00320DDD"/>
    <w:rsid w:val="00322137"/>
    <w:rsid w:val="00326CCD"/>
    <w:rsid w:val="00331BB3"/>
    <w:rsid w:val="00331CB3"/>
    <w:rsid w:val="00335210"/>
    <w:rsid w:val="00337B9F"/>
    <w:rsid w:val="003402A7"/>
    <w:rsid w:val="00341039"/>
    <w:rsid w:val="003414FB"/>
    <w:rsid w:val="00344569"/>
    <w:rsid w:val="00347A11"/>
    <w:rsid w:val="003504BD"/>
    <w:rsid w:val="003514F0"/>
    <w:rsid w:val="0035660B"/>
    <w:rsid w:val="0036300E"/>
    <w:rsid w:val="00365B3C"/>
    <w:rsid w:val="00366500"/>
    <w:rsid w:val="00370EE1"/>
    <w:rsid w:val="003710E4"/>
    <w:rsid w:val="00371206"/>
    <w:rsid w:val="00373B93"/>
    <w:rsid w:val="003752C7"/>
    <w:rsid w:val="0037762C"/>
    <w:rsid w:val="003875C3"/>
    <w:rsid w:val="00387825"/>
    <w:rsid w:val="0039302B"/>
    <w:rsid w:val="00395AF2"/>
    <w:rsid w:val="003A4001"/>
    <w:rsid w:val="003A7FE8"/>
    <w:rsid w:val="003B20F4"/>
    <w:rsid w:val="003B26D7"/>
    <w:rsid w:val="003B281F"/>
    <w:rsid w:val="003B2DC7"/>
    <w:rsid w:val="003B5C9F"/>
    <w:rsid w:val="003B65A9"/>
    <w:rsid w:val="003B68E0"/>
    <w:rsid w:val="003C1B15"/>
    <w:rsid w:val="003C3221"/>
    <w:rsid w:val="003C56E1"/>
    <w:rsid w:val="003D21C7"/>
    <w:rsid w:val="003D2750"/>
    <w:rsid w:val="003D5DD7"/>
    <w:rsid w:val="003D6F73"/>
    <w:rsid w:val="003E0633"/>
    <w:rsid w:val="003E4986"/>
    <w:rsid w:val="003E564D"/>
    <w:rsid w:val="003F0413"/>
    <w:rsid w:val="003F0D1C"/>
    <w:rsid w:val="003F1E65"/>
    <w:rsid w:val="003F1EDC"/>
    <w:rsid w:val="003F41D9"/>
    <w:rsid w:val="003F51E9"/>
    <w:rsid w:val="003F5A3D"/>
    <w:rsid w:val="003F6600"/>
    <w:rsid w:val="0040080C"/>
    <w:rsid w:val="004019B7"/>
    <w:rsid w:val="00403B10"/>
    <w:rsid w:val="00405773"/>
    <w:rsid w:val="00413916"/>
    <w:rsid w:val="00413B21"/>
    <w:rsid w:val="0041775C"/>
    <w:rsid w:val="00421980"/>
    <w:rsid w:val="00421A04"/>
    <w:rsid w:val="00432221"/>
    <w:rsid w:val="00433F4C"/>
    <w:rsid w:val="00435B15"/>
    <w:rsid w:val="00440738"/>
    <w:rsid w:val="00444028"/>
    <w:rsid w:val="004456CB"/>
    <w:rsid w:val="00451148"/>
    <w:rsid w:val="004521DC"/>
    <w:rsid w:val="00455214"/>
    <w:rsid w:val="00455218"/>
    <w:rsid w:val="0045717D"/>
    <w:rsid w:val="004604EC"/>
    <w:rsid w:val="004607DC"/>
    <w:rsid w:val="0046252F"/>
    <w:rsid w:val="0046751E"/>
    <w:rsid w:val="00471966"/>
    <w:rsid w:val="00473153"/>
    <w:rsid w:val="004742F0"/>
    <w:rsid w:val="004846BC"/>
    <w:rsid w:val="00485CE2"/>
    <w:rsid w:val="00490949"/>
    <w:rsid w:val="00494F2F"/>
    <w:rsid w:val="00496140"/>
    <w:rsid w:val="004966E0"/>
    <w:rsid w:val="00496870"/>
    <w:rsid w:val="004A24F6"/>
    <w:rsid w:val="004A2D35"/>
    <w:rsid w:val="004A34A5"/>
    <w:rsid w:val="004A56FC"/>
    <w:rsid w:val="004A70ED"/>
    <w:rsid w:val="004B03A2"/>
    <w:rsid w:val="004B4111"/>
    <w:rsid w:val="004B67EC"/>
    <w:rsid w:val="004C1F04"/>
    <w:rsid w:val="004C1F5E"/>
    <w:rsid w:val="004D379D"/>
    <w:rsid w:val="004D3DC6"/>
    <w:rsid w:val="004D43E2"/>
    <w:rsid w:val="004D4A6C"/>
    <w:rsid w:val="004D4BDE"/>
    <w:rsid w:val="004D601F"/>
    <w:rsid w:val="004D7C7E"/>
    <w:rsid w:val="004E2B4F"/>
    <w:rsid w:val="004F27AD"/>
    <w:rsid w:val="004F5DA7"/>
    <w:rsid w:val="004F75D4"/>
    <w:rsid w:val="005003AF"/>
    <w:rsid w:val="00500DA4"/>
    <w:rsid w:val="005015ED"/>
    <w:rsid w:val="00501CB6"/>
    <w:rsid w:val="00502638"/>
    <w:rsid w:val="005028F6"/>
    <w:rsid w:val="00502E12"/>
    <w:rsid w:val="00511D0B"/>
    <w:rsid w:val="00513007"/>
    <w:rsid w:val="005140F5"/>
    <w:rsid w:val="00515156"/>
    <w:rsid w:val="005278F3"/>
    <w:rsid w:val="00527AA0"/>
    <w:rsid w:val="00527E95"/>
    <w:rsid w:val="005304BD"/>
    <w:rsid w:val="00530533"/>
    <w:rsid w:val="00531054"/>
    <w:rsid w:val="00535ED3"/>
    <w:rsid w:val="00543BC1"/>
    <w:rsid w:val="0055265E"/>
    <w:rsid w:val="005530D1"/>
    <w:rsid w:val="005549E7"/>
    <w:rsid w:val="00554E83"/>
    <w:rsid w:val="00554FD4"/>
    <w:rsid w:val="005559F6"/>
    <w:rsid w:val="00561755"/>
    <w:rsid w:val="00565DC3"/>
    <w:rsid w:val="00571B4B"/>
    <w:rsid w:val="00572347"/>
    <w:rsid w:val="0057362F"/>
    <w:rsid w:val="005766C7"/>
    <w:rsid w:val="00582A2A"/>
    <w:rsid w:val="00582FF3"/>
    <w:rsid w:val="0058420E"/>
    <w:rsid w:val="00587DA1"/>
    <w:rsid w:val="00590F2E"/>
    <w:rsid w:val="005A1D47"/>
    <w:rsid w:val="005A2492"/>
    <w:rsid w:val="005A29F8"/>
    <w:rsid w:val="005B4D73"/>
    <w:rsid w:val="005B6205"/>
    <w:rsid w:val="005B7785"/>
    <w:rsid w:val="005B7EC4"/>
    <w:rsid w:val="005C037F"/>
    <w:rsid w:val="005C04C6"/>
    <w:rsid w:val="005C5C25"/>
    <w:rsid w:val="005D04C6"/>
    <w:rsid w:val="005E2863"/>
    <w:rsid w:val="005E4370"/>
    <w:rsid w:val="005F295A"/>
    <w:rsid w:val="005F2EA6"/>
    <w:rsid w:val="005F734D"/>
    <w:rsid w:val="006032F7"/>
    <w:rsid w:val="00610748"/>
    <w:rsid w:val="00612AE9"/>
    <w:rsid w:val="00612DD6"/>
    <w:rsid w:val="006156CA"/>
    <w:rsid w:val="0061654E"/>
    <w:rsid w:val="00616698"/>
    <w:rsid w:val="006167A0"/>
    <w:rsid w:val="00616D0C"/>
    <w:rsid w:val="006216F7"/>
    <w:rsid w:val="00624340"/>
    <w:rsid w:val="00624E68"/>
    <w:rsid w:val="0064259F"/>
    <w:rsid w:val="00642EDB"/>
    <w:rsid w:val="00643296"/>
    <w:rsid w:val="00646AA6"/>
    <w:rsid w:val="006564A0"/>
    <w:rsid w:val="0066092F"/>
    <w:rsid w:val="0066220A"/>
    <w:rsid w:val="00663093"/>
    <w:rsid w:val="00663C30"/>
    <w:rsid w:val="00671F73"/>
    <w:rsid w:val="00672BB8"/>
    <w:rsid w:val="00680E7B"/>
    <w:rsid w:val="00681B76"/>
    <w:rsid w:val="00684775"/>
    <w:rsid w:val="00685C7B"/>
    <w:rsid w:val="00686B34"/>
    <w:rsid w:val="00686C47"/>
    <w:rsid w:val="00694CCF"/>
    <w:rsid w:val="00696B85"/>
    <w:rsid w:val="00697BDE"/>
    <w:rsid w:val="00697DDE"/>
    <w:rsid w:val="006A0596"/>
    <w:rsid w:val="006A2CE3"/>
    <w:rsid w:val="006A406D"/>
    <w:rsid w:val="006A47E1"/>
    <w:rsid w:val="006A5B79"/>
    <w:rsid w:val="006A7F53"/>
    <w:rsid w:val="006C0E68"/>
    <w:rsid w:val="006C21D7"/>
    <w:rsid w:val="006C5F54"/>
    <w:rsid w:val="006D28B6"/>
    <w:rsid w:val="006D3E0B"/>
    <w:rsid w:val="006D4FA6"/>
    <w:rsid w:val="006E4FEF"/>
    <w:rsid w:val="006E612B"/>
    <w:rsid w:val="006F0075"/>
    <w:rsid w:val="006F03A9"/>
    <w:rsid w:val="006F04D1"/>
    <w:rsid w:val="006F1A94"/>
    <w:rsid w:val="006F597C"/>
    <w:rsid w:val="0070077A"/>
    <w:rsid w:val="007061BF"/>
    <w:rsid w:val="00706A74"/>
    <w:rsid w:val="00707976"/>
    <w:rsid w:val="00721EEC"/>
    <w:rsid w:val="007239D8"/>
    <w:rsid w:val="00723D6E"/>
    <w:rsid w:val="00724EC6"/>
    <w:rsid w:val="00730AFF"/>
    <w:rsid w:val="00731006"/>
    <w:rsid w:val="0073380C"/>
    <w:rsid w:val="00733EB3"/>
    <w:rsid w:val="007359BC"/>
    <w:rsid w:val="00741186"/>
    <w:rsid w:val="00742906"/>
    <w:rsid w:val="00742D9E"/>
    <w:rsid w:val="00744E98"/>
    <w:rsid w:val="00745727"/>
    <w:rsid w:val="007534F4"/>
    <w:rsid w:val="007556CC"/>
    <w:rsid w:val="00764860"/>
    <w:rsid w:val="00772611"/>
    <w:rsid w:val="00774AD5"/>
    <w:rsid w:val="00787CE3"/>
    <w:rsid w:val="0079013D"/>
    <w:rsid w:val="00791CAE"/>
    <w:rsid w:val="007922C4"/>
    <w:rsid w:val="007A08BB"/>
    <w:rsid w:val="007A2D40"/>
    <w:rsid w:val="007A7F01"/>
    <w:rsid w:val="007B0C68"/>
    <w:rsid w:val="007B1657"/>
    <w:rsid w:val="007B1B1F"/>
    <w:rsid w:val="007B63B8"/>
    <w:rsid w:val="007C09D7"/>
    <w:rsid w:val="007C0C7A"/>
    <w:rsid w:val="007C51C4"/>
    <w:rsid w:val="007C701A"/>
    <w:rsid w:val="007D316C"/>
    <w:rsid w:val="007D489F"/>
    <w:rsid w:val="007E0822"/>
    <w:rsid w:val="007E1A8D"/>
    <w:rsid w:val="007E2E1D"/>
    <w:rsid w:val="007E3547"/>
    <w:rsid w:val="007E6017"/>
    <w:rsid w:val="007F0F4E"/>
    <w:rsid w:val="007F4B62"/>
    <w:rsid w:val="007F4DB8"/>
    <w:rsid w:val="007F62BC"/>
    <w:rsid w:val="007F7CBD"/>
    <w:rsid w:val="00802B67"/>
    <w:rsid w:val="00803976"/>
    <w:rsid w:val="00806BB0"/>
    <w:rsid w:val="008072FE"/>
    <w:rsid w:val="008074E6"/>
    <w:rsid w:val="008112D4"/>
    <w:rsid w:val="0081519D"/>
    <w:rsid w:val="0082075C"/>
    <w:rsid w:val="00820CD2"/>
    <w:rsid w:val="00823008"/>
    <w:rsid w:val="008264B2"/>
    <w:rsid w:val="0082684E"/>
    <w:rsid w:val="00831DEE"/>
    <w:rsid w:val="00835AF8"/>
    <w:rsid w:val="00837840"/>
    <w:rsid w:val="00842383"/>
    <w:rsid w:val="00842F55"/>
    <w:rsid w:val="008436FE"/>
    <w:rsid w:val="0084440B"/>
    <w:rsid w:val="00857541"/>
    <w:rsid w:val="00862FD3"/>
    <w:rsid w:val="00864AC8"/>
    <w:rsid w:val="0086689E"/>
    <w:rsid w:val="00871456"/>
    <w:rsid w:val="00881373"/>
    <w:rsid w:val="00881614"/>
    <w:rsid w:val="00883928"/>
    <w:rsid w:val="008850E7"/>
    <w:rsid w:val="008856CE"/>
    <w:rsid w:val="008858E7"/>
    <w:rsid w:val="00885B71"/>
    <w:rsid w:val="00887D17"/>
    <w:rsid w:val="00893F4B"/>
    <w:rsid w:val="008A04E6"/>
    <w:rsid w:val="008A3911"/>
    <w:rsid w:val="008A3F93"/>
    <w:rsid w:val="008A52A8"/>
    <w:rsid w:val="008A633A"/>
    <w:rsid w:val="008B0E39"/>
    <w:rsid w:val="008B36BC"/>
    <w:rsid w:val="008C110B"/>
    <w:rsid w:val="008C57F3"/>
    <w:rsid w:val="008C6AE0"/>
    <w:rsid w:val="008D1B79"/>
    <w:rsid w:val="008D3857"/>
    <w:rsid w:val="008D4C30"/>
    <w:rsid w:val="008E13C6"/>
    <w:rsid w:val="008E74CD"/>
    <w:rsid w:val="008F17B8"/>
    <w:rsid w:val="008F2D9E"/>
    <w:rsid w:val="00906FA5"/>
    <w:rsid w:val="00913E1B"/>
    <w:rsid w:val="00915EB2"/>
    <w:rsid w:val="00923471"/>
    <w:rsid w:val="0092366F"/>
    <w:rsid w:val="009237B2"/>
    <w:rsid w:val="00924B14"/>
    <w:rsid w:val="00924F98"/>
    <w:rsid w:val="00927DE9"/>
    <w:rsid w:val="009322CE"/>
    <w:rsid w:val="009338AA"/>
    <w:rsid w:val="00933CBA"/>
    <w:rsid w:val="00934837"/>
    <w:rsid w:val="009355FC"/>
    <w:rsid w:val="009366A0"/>
    <w:rsid w:val="00937413"/>
    <w:rsid w:val="009401CE"/>
    <w:rsid w:val="00940B8E"/>
    <w:rsid w:val="00946F5A"/>
    <w:rsid w:val="009511AC"/>
    <w:rsid w:val="00951A12"/>
    <w:rsid w:val="00953917"/>
    <w:rsid w:val="00953CAA"/>
    <w:rsid w:val="00954B9D"/>
    <w:rsid w:val="009563C3"/>
    <w:rsid w:val="00962B57"/>
    <w:rsid w:val="00965463"/>
    <w:rsid w:val="00970662"/>
    <w:rsid w:val="0097088E"/>
    <w:rsid w:val="00972641"/>
    <w:rsid w:val="009759D3"/>
    <w:rsid w:val="00977BCB"/>
    <w:rsid w:val="009821DB"/>
    <w:rsid w:val="00983BD6"/>
    <w:rsid w:val="00985310"/>
    <w:rsid w:val="009918D8"/>
    <w:rsid w:val="00992EF1"/>
    <w:rsid w:val="00993E65"/>
    <w:rsid w:val="0099480F"/>
    <w:rsid w:val="009A1C83"/>
    <w:rsid w:val="009A35AF"/>
    <w:rsid w:val="009A5197"/>
    <w:rsid w:val="009B2CCB"/>
    <w:rsid w:val="009B3006"/>
    <w:rsid w:val="009B42D1"/>
    <w:rsid w:val="009C3DAB"/>
    <w:rsid w:val="009C41FC"/>
    <w:rsid w:val="009C5B7B"/>
    <w:rsid w:val="009D4CD5"/>
    <w:rsid w:val="009E2723"/>
    <w:rsid w:val="009E27AB"/>
    <w:rsid w:val="009E4168"/>
    <w:rsid w:val="009E5967"/>
    <w:rsid w:val="009E61F5"/>
    <w:rsid w:val="009E7EAC"/>
    <w:rsid w:val="009F0788"/>
    <w:rsid w:val="009F0BA5"/>
    <w:rsid w:val="009F1BE8"/>
    <w:rsid w:val="009F1C2B"/>
    <w:rsid w:val="009F2C4D"/>
    <w:rsid w:val="009F643B"/>
    <w:rsid w:val="00A0104C"/>
    <w:rsid w:val="00A0312F"/>
    <w:rsid w:val="00A031B0"/>
    <w:rsid w:val="00A102C6"/>
    <w:rsid w:val="00A10CDD"/>
    <w:rsid w:val="00A10EBE"/>
    <w:rsid w:val="00A118B7"/>
    <w:rsid w:val="00A17A0E"/>
    <w:rsid w:val="00A21623"/>
    <w:rsid w:val="00A2207C"/>
    <w:rsid w:val="00A228E0"/>
    <w:rsid w:val="00A25417"/>
    <w:rsid w:val="00A322F9"/>
    <w:rsid w:val="00A341FE"/>
    <w:rsid w:val="00A34CC8"/>
    <w:rsid w:val="00A36D25"/>
    <w:rsid w:val="00A45F52"/>
    <w:rsid w:val="00A477A6"/>
    <w:rsid w:val="00A47B7E"/>
    <w:rsid w:val="00A537C6"/>
    <w:rsid w:val="00A563E4"/>
    <w:rsid w:val="00A605F1"/>
    <w:rsid w:val="00A616DD"/>
    <w:rsid w:val="00A65103"/>
    <w:rsid w:val="00A67407"/>
    <w:rsid w:val="00A71137"/>
    <w:rsid w:val="00A773A8"/>
    <w:rsid w:val="00A80922"/>
    <w:rsid w:val="00A80F7A"/>
    <w:rsid w:val="00A83D7C"/>
    <w:rsid w:val="00A92D26"/>
    <w:rsid w:val="00A932F8"/>
    <w:rsid w:val="00A97A3B"/>
    <w:rsid w:val="00A97A88"/>
    <w:rsid w:val="00A97D68"/>
    <w:rsid w:val="00AA55DC"/>
    <w:rsid w:val="00AA7370"/>
    <w:rsid w:val="00AA7431"/>
    <w:rsid w:val="00AB1D68"/>
    <w:rsid w:val="00AB46F4"/>
    <w:rsid w:val="00AB53D5"/>
    <w:rsid w:val="00AC1EA2"/>
    <w:rsid w:val="00AC22ED"/>
    <w:rsid w:val="00AC36AA"/>
    <w:rsid w:val="00AC3C1C"/>
    <w:rsid w:val="00AC66D8"/>
    <w:rsid w:val="00AC66F6"/>
    <w:rsid w:val="00AD1BBE"/>
    <w:rsid w:val="00AD4045"/>
    <w:rsid w:val="00AD5D37"/>
    <w:rsid w:val="00AD6ACD"/>
    <w:rsid w:val="00AD6F6C"/>
    <w:rsid w:val="00AE0C51"/>
    <w:rsid w:val="00AE228D"/>
    <w:rsid w:val="00AE44EB"/>
    <w:rsid w:val="00AE533E"/>
    <w:rsid w:val="00AE5D38"/>
    <w:rsid w:val="00AE6B94"/>
    <w:rsid w:val="00AE7BBC"/>
    <w:rsid w:val="00AF2EAC"/>
    <w:rsid w:val="00AF7C17"/>
    <w:rsid w:val="00B03DB1"/>
    <w:rsid w:val="00B06F52"/>
    <w:rsid w:val="00B127EA"/>
    <w:rsid w:val="00B13735"/>
    <w:rsid w:val="00B14578"/>
    <w:rsid w:val="00B152C8"/>
    <w:rsid w:val="00B1757F"/>
    <w:rsid w:val="00B200B2"/>
    <w:rsid w:val="00B2286F"/>
    <w:rsid w:val="00B22873"/>
    <w:rsid w:val="00B22CE2"/>
    <w:rsid w:val="00B23129"/>
    <w:rsid w:val="00B31DB2"/>
    <w:rsid w:val="00B3628B"/>
    <w:rsid w:val="00B40E3F"/>
    <w:rsid w:val="00B4143C"/>
    <w:rsid w:val="00B43248"/>
    <w:rsid w:val="00B44470"/>
    <w:rsid w:val="00B46038"/>
    <w:rsid w:val="00B508C6"/>
    <w:rsid w:val="00B56699"/>
    <w:rsid w:val="00B62ADC"/>
    <w:rsid w:val="00B62D60"/>
    <w:rsid w:val="00B67539"/>
    <w:rsid w:val="00B7688B"/>
    <w:rsid w:val="00B772B4"/>
    <w:rsid w:val="00B83705"/>
    <w:rsid w:val="00B861E8"/>
    <w:rsid w:val="00B90BB2"/>
    <w:rsid w:val="00B9227F"/>
    <w:rsid w:val="00B93343"/>
    <w:rsid w:val="00B9386D"/>
    <w:rsid w:val="00B96D0F"/>
    <w:rsid w:val="00BA50FB"/>
    <w:rsid w:val="00BA6102"/>
    <w:rsid w:val="00BA6188"/>
    <w:rsid w:val="00BB08DE"/>
    <w:rsid w:val="00BB16F8"/>
    <w:rsid w:val="00BB1765"/>
    <w:rsid w:val="00BC2ECA"/>
    <w:rsid w:val="00BC48FE"/>
    <w:rsid w:val="00BC61F0"/>
    <w:rsid w:val="00BC7C85"/>
    <w:rsid w:val="00BD2221"/>
    <w:rsid w:val="00BD4B33"/>
    <w:rsid w:val="00BD5054"/>
    <w:rsid w:val="00BD5723"/>
    <w:rsid w:val="00BD7768"/>
    <w:rsid w:val="00BD7786"/>
    <w:rsid w:val="00BE436A"/>
    <w:rsid w:val="00BE55ED"/>
    <w:rsid w:val="00BE7336"/>
    <w:rsid w:val="00BF0F8A"/>
    <w:rsid w:val="00BF2708"/>
    <w:rsid w:val="00BF273B"/>
    <w:rsid w:val="00BF4284"/>
    <w:rsid w:val="00BF4A32"/>
    <w:rsid w:val="00BF7435"/>
    <w:rsid w:val="00C00D06"/>
    <w:rsid w:val="00C05E3D"/>
    <w:rsid w:val="00C07906"/>
    <w:rsid w:val="00C129B0"/>
    <w:rsid w:val="00C12EB4"/>
    <w:rsid w:val="00C15011"/>
    <w:rsid w:val="00C200FA"/>
    <w:rsid w:val="00C21150"/>
    <w:rsid w:val="00C21DC0"/>
    <w:rsid w:val="00C246ED"/>
    <w:rsid w:val="00C272F2"/>
    <w:rsid w:val="00C30C93"/>
    <w:rsid w:val="00C3318F"/>
    <w:rsid w:val="00C349EB"/>
    <w:rsid w:val="00C34E5E"/>
    <w:rsid w:val="00C37C31"/>
    <w:rsid w:val="00C40777"/>
    <w:rsid w:val="00C455B7"/>
    <w:rsid w:val="00C46996"/>
    <w:rsid w:val="00C616B3"/>
    <w:rsid w:val="00C639BE"/>
    <w:rsid w:val="00C64BE2"/>
    <w:rsid w:val="00C71A2E"/>
    <w:rsid w:val="00C726FE"/>
    <w:rsid w:val="00C753A4"/>
    <w:rsid w:val="00C75B4B"/>
    <w:rsid w:val="00C76837"/>
    <w:rsid w:val="00C776C8"/>
    <w:rsid w:val="00C82671"/>
    <w:rsid w:val="00C84AAF"/>
    <w:rsid w:val="00C85117"/>
    <w:rsid w:val="00C8650A"/>
    <w:rsid w:val="00C92499"/>
    <w:rsid w:val="00C959AB"/>
    <w:rsid w:val="00C97386"/>
    <w:rsid w:val="00CA0692"/>
    <w:rsid w:val="00CA0F0E"/>
    <w:rsid w:val="00CA109F"/>
    <w:rsid w:val="00CA118E"/>
    <w:rsid w:val="00CA4D12"/>
    <w:rsid w:val="00CB2C1C"/>
    <w:rsid w:val="00CB750B"/>
    <w:rsid w:val="00CC2BBC"/>
    <w:rsid w:val="00CD10E9"/>
    <w:rsid w:val="00CD2AFA"/>
    <w:rsid w:val="00CD3F04"/>
    <w:rsid w:val="00CD6923"/>
    <w:rsid w:val="00CD6F96"/>
    <w:rsid w:val="00CE114B"/>
    <w:rsid w:val="00CE172F"/>
    <w:rsid w:val="00CF0E1F"/>
    <w:rsid w:val="00CF3123"/>
    <w:rsid w:val="00CF3646"/>
    <w:rsid w:val="00CF3CD5"/>
    <w:rsid w:val="00CF5CC2"/>
    <w:rsid w:val="00D0194F"/>
    <w:rsid w:val="00D01D32"/>
    <w:rsid w:val="00D0235E"/>
    <w:rsid w:val="00D04D48"/>
    <w:rsid w:val="00D04EAD"/>
    <w:rsid w:val="00D104A7"/>
    <w:rsid w:val="00D13188"/>
    <w:rsid w:val="00D158D8"/>
    <w:rsid w:val="00D16E55"/>
    <w:rsid w:val="00D21349"/>
    <w:rsid w:val="00D26063"/>
    <w:rsid w:val="00D33830"/>
    <w:rsid w:val="00D350E2"/>
    <w:rsid w:val="00D36BCA"/>
    <w:rsid w:val="00D3777B"/>
    <w:rsid w:val="00D415CE"/>
    <w:rsid w:val="00D4162C"/>
    <w:rsid w:val="00D424FD"/>
    <w:rsid w:val="00D44D87"/>
    <w:rsid w:val="00D4656F"/>
    <w:rsid w:val="00D51995"/>
    <w:rsid w:val="00D53E1B"/>
    <w:rsid w:val="00D60253"/>
    <w:rsid w:val="00D60610"/>
    <w:rsid w:val="00D60877"/>
    <w:rsid w:val="00D60F51"/>
    <w:rsid w:val="00D81A57"/>
    <w:rsid w:val="00D82633"/>
    <w:rsid w:val="00D82B43"/>
    <w:rsid w:val="00D82EF7"/>
    <w:rsid w:val="00D845EC"/>
    <w:rsid w:val="00D85DCC"/>
    <w:rsid w:val="00D87FCA"/>
    <w:rsid w:val="00D9029B"/>
    <w:rsid w:val="00D932FE"/>
    <w:rsid w:val="00D93E94"/>
    <w:rsid w:val="00D956BF"/>
    <w:rsid w:val="00DA3C6C"/>
    <w:rsid w:val="00DA4A43"/>
    <w:rsid w:val="00DA7CC2"/>
    <w:rsid w:val="00DB2AC7"/>
    <w:rsid w:val="00DB6850"/>
    <w:rsid w:val="00DC2201"/>
    <w:rsid w:val="00DC31CB"/>
    <w:rsid w:val="00DC5F2B"/>
    <w:rsid w:val="00DD21A7"/>
    <w:rsid w:val="00DD27BF"/>
    <w:rsid w:val="00DD3CDA"/>
    <w:rsid w:val="00DD4A75"/>
    <w:rsid w:val="00DD50B7"/>
    <w:rsid w:val="00DE534E"/>
    <w:rsid w:val="00DE592A"/>
    <w:rsid w:val="00DF1D1D"/>
    <w:rsid w:val="00DF2F6E"/>
    <w:rsid w:val="00DF5520"/>
    <w:rsid w:val="00DF5C5D"/>
    <w:rsid w:val="00E00E1E"/>
    <w:rsid w:val="00E017A7"/>
    <w:rsid w:val="00E03548"/>
    <w:rsid w:val="00E03CBC"/>
    <w:rsid w:val="00E03FE6"/>
    <w:rsid w:val="00E047F2"/>
    <w:rsid w:val="00E048DD"/>
    <w:rsid w:val="00E076FC"/>
    <w:rsid w:val="00E07785"/>
    <w:rsid w:val="00E11FC6"/>
    <w:rsid w:val="00E12610"/>
    <w:rsid w:val="00E1400F"/>
    <w:rsid w:val="00E14599"/>
    <w:rsid w:val="00E15437"/>
    <w:rsid w:val="00E2005B"/>
    <w:rsid w:val="00E2242D"/>
    <w:rsid w:val="00E26B1D"/>
    <w:rsid w:val="00E33688"/>
    <w:rsid w:val="00E463A3"/>
    <w:rsid w:val="00E50A37"/>
    <w:rsid w:val="00E5250E"/>
    <w:rsid w:val="00E538AB"/>
    <w:rsid w:val="00E55100"/>
    <w:rsid w:val="00E576A6"/>
    <w:rsid w:val="00E57F14"/>
    <w:rsid w:val="00E60C4F"/>
    <w:rsid w:val="00E62874"/>
    <w:rsid w:val="00E73485"/>
    <w:rsid w:val="00E73541"/>
    <w:rsid w:val="00E73746"/>
    <w:rsid w:val="00E74CCC"/>
    <w:rsid w:val="00E80AFA"/>
    <w:rsid w:val="00E84819"/>
    <w:rsid w:val="00E852E4"/>
    <w:rsid w:val="00E85985"/>
    <w:rsid w:val="00E91039"/>
    <w:rsid w:val="00E93BCE"/>
    <w:rsid w:val="00EA1C0E"/>
    <w:rsid w:val="00EA2AEE"/>
    <w:rsid w:val="00EA2E53"/>
    <w:rsid w:val="00EA49D8"/>
    <w:rsid w:val="00EA5643"/>
    <w:rsid w:val="00EA6495"/>
    <w:rsid w:val="00EB046F"/>
    <w:rsid w:val="00EB0EF2"/>
    <w:rsid w:val="00EB64E7"/>
    <w:rsid w:val="00EC02C3"/>
    <w:rsid w:val="00EC5390"/>
    <w:rsid w:val="00EC660A"/>
    <w:rsid w:val="00EC7018"/>
    <w:rsid w:val="00EC7F82"/>
    <w:rsid w:val="00ED065B"/>
    <w:rsid w:val="00ED2674"/>
    <w:rsid w:val="00ED50D7"/>
    <w:rsid w:val="00ED6C1A"/>
    <w:rsid w:val="00EE0B70"/>
    <w:rsid w:val="00EE3F38"/>
    <w:rsid w:val="00EF016B"/>
    <w:rsid w:val="00EF0782"/>
    <w:rsid w:val="00EF1D9E"/>
    <w:rsid w:val="00EF3824"/>
    <w:rsid w:val="00F00374"/>
    <w:rsid w:val="00F00BEF"/>
    <w:rsid w:val="00F04C9C"/>
    <w:rsid w:val="00F05A65"/>
    <w:rsid w:val="00F06A50"/>
    <w:rsid w:val="00F1547C"/>
    <w:rsid w:val="00F16CD3"/>
    <w:rsid w:val="00F17885"/>
    <w:rsid w:val="00F20F9D"/>
    <w:rsid w:val="00F23189"/>
    <w:rsid w:val="00F253C6"/>
    <w:rsid w:val="00F25988"/>
    <w:rsid w:val="00F33065"/>
    <w:rsid w:val="00F3761E"/>
    <w:rsid w:val="00F40DAA"/>
    <w:rsid w:val="00F410BD"/>
    <w:rsid w:val="00F41281"/>
    <w:rsid w:val="00F46122"/>
    <w:rsid w:val="00F47A8C"/>
    <w:rsid w:val="00F575A6"/>
    <w:rsid w:val="00F577AA"/>
    <w:rsid w:val="00F66650"/>
    <w:rsid w:val="00F671CE"/>
    <w:rsid w:val="00F70C92"/>
    <w:rsid w:val="00F740FA"/>
    <w:rsid w:val="00F7721A"/>
    <w:rsid w:val="00F82E55"/>
    <w:rsid w:val="00F83A9F"/>
    <w:rsid w:val="00F84201"/>
    <w:rsid w:val="00F92AC2"/>
    <w:rsid w:val="00F94DD5"/>
    <w:rsid w:val="00F96E32"/>
    <w:rsid w:val="00FA00E5"/>
    <w:rsid w:val="00FA05EB"/>
    <w:rsid w:val="00FA231D"/>
    <w:rsid w:val="00FA2E06"/>
    <w:rsid w:val="00FA32C5"/>
    <w:rsid w:val="00FA3B0C"/>
    <w:rsid w:val="00FA6710"/>
    <w:rsid w:val="00FA79D3"/>
    <w:rsid w:val="00FB3555"/>
    <w:rsid w:val="00FB3D68"/>
    <w:rsid w:val="00FB67E7"/>
    <w:rsid w:val="00FB7A37"/>
    <w:rsid w:val="00FC25EB"/>
    <w:rsid w:val="00FC7DE9"/>
    <w:rsid w:val="00FD132D"/>
    <w:rsid w:val="00FD6DEE"/>
    <w:rsid w:val="00FD786D"/>
    <w:rsid w:val="00FD7982"/>
    <w:rsid w:val="00FE1F3F"/>
    <w:rsid w:val="00FE2607"/>
    <w:rsid w:val="00FE463E"/>
    <w:rsid w:val="00FE47BF"/>
    <w:rsid w:val="00FE66CB"/>
    <w:rsid w:val="00FE7E0C"/>
    <w:rsid w:val="00FF6008"/>
    <w:rsid w:val="00FF61CC"/>
    <w:rsid w:val="00FF6E8C"/>
    <w:rsid w:val="02046545"/>
    <w:rsid w:val="02B25DF3"/>
    <w:rsid w:val="037945DA"/>
    <w:rsid w:val="04967407"/>
    <w:rsid w:val="05742F79"/>
    <w:rsid w:val="063F3F2B"/>
    <w:rsid w:val="06626459"/>
    <w:rsid w:val="07C41824"/>
    <w:rsid w:val="08872CB8"/>
    <w:rsid w:val="093716AE"/>
    <w:rsid w:val="094E1389"/>
    <w:rsid w:val="0A4A5D65"/>
    <w:rsid w:val="0B8863BE"/>
    <w:rsid w:val="0B9371E3"/>
    <w:rsid w:val="0BF27F54"/>
    <w:rsid w:val="0D493F31"/>
    <w:rsid w:val="0E6B0617"/>
    <w:rsid w:val="0F810D55"/>
    <w:rsid w:val="10ED2F24"/>
    <w:rsid w:val="116C5992"/>
    <w:rsid w:val="11CA0684"/>
    <w:rsid w:val="11FB791D"/>
    <w:rsid w:val="140C19C4"/>
    <w:rsid w:val="14413CDD"/>
    <w:rsid w:val="1497559C"/>
    <w:rsid w:val="14B80C7D"/>
    <w:rsid w:val="1683723B"/>
    <w:rsid w:val="181C4E18"/>
    <w:rsid w:val="18D17D7D"/>
    <w:rsid w:val="193D5EC6"/>
    <w:rsid w:val="195F44D1"/>
    <w:rsid w:val="197065E1"/>
    <w:rsid w:val="19AF443B"/>
    <w:rsid w:val="19D33C2A"/>
    <w:rsid w:val="1ADE031E"/>
    <w:rsid w:val="1BFD2B28"/>
    <w:rsid w:val="1CD115EB"/>
    <w:rsid w:val="1E041D41"/>
    <w:rsid w:val="1E29340C"/>
    <w:rsid w:val="1F7116BE"/>
    <w:rsid w:val="1FA01ED6"/>
    <w:rsid w:val="1FF4490B"/>
    <w:rsid w:val="20AA477B"/>
    <w:rsid w:val="20CB0937"/>
    <w:rsid w:val="215866D9"/>
    <w:rsid w:val="22611C7F"/>
    <w:rsid w:val="24BC2633"/>
    <w:rsid w:val="24DA17E0"/>
    <w:rsid w:val="24DC262F"/>
    <w:rsid w:val="25277C4B"/>
    <w:rsid w:val="254A4E0D"/>
    <w:rsid w:val="25BC74B2"/>
    <w:rsid w:val="261111BE"/>
    <w:rsid w:val="26292B36"/>
    <w:rsid w:val="28641FB9"/>
    <w:rsid w:val="28783CE3"/>
    <w:rsid w:val="288B002D"/>
    <w:rsid w:val="296E5DE7"/>
    <w:rsid w:val="29857880"/>
    <w:rsid w:val="29CF36E8"/>
    <w:rsid w:val="2A0F647D"/>
    <w:rsid w:val="2A804FC9"/>
    <w:rsid w:val="2AEF6B62"/>
    <w:rsid w:val="2BE20B03"/>
    <w:rsid w:val="2E8466DC"/>
    <w:rsid w:val="2E9357FB"/>
    <w:rsid w:val="2E94729E"/>
    <w:rsid w:val="2F0A7A80"/>
    <w:rsid w:val="2F1D243A"/>
    <w:rsid w:val="2F5E0408"/>
    <w:rsid w:val="2F737785"/>
    <w:rsid w:val="30261529"/>
    <w:rsid w:val="303B59E2"/>
    <w:rsid w:val="30BE648D"/>
    <w:rsid w:val="31387EFA"/>
    <w:rsid w:val="31DD5DC5"/>
    <w:rsid w:val="3257291D"/>
    <w:rsid w:val="327510B8"/>
    <w:rsid w:val="33903265"/>
    <w:rsid w:val="34295E16"/>
    <w:rsid w:val="34B01733"/>
    <w:rsid w:val="34EA6652"/>
    <w:rsid w:val="350E27F4"/>
    <w:rsid w:val="35347107"/>
    <w:rsid w:val="357C1556"/>
    <w:rsid w:val="36020FB4"/>
    <w:rsid w:val="36F6600F"/>
    <w:rsid w:val="373C4CED"/>
    <w:rsid w:val="37E10003"/>
    <w:rsid w:val="37F01C6A"/>
    <w:rsid w:val="37FF496B"/>
    <w:rsid w:val="38AB2F2A"/>
    <w:rsid w:val="396642B6"/>
    <w:rsid w:val="39FA2FEA"/>
    <w:rsid w:val="3C2C0AAD"/>
    <w:rsid w:val="3D4E34ED"/>
    <w:rsid w:val="3DBD7D6C"/>
    <w:rsid w:val="40AE1FC0"/>
    <w:rsid w:val="40CB1C4E"/>
    <w:rsid w:val="40EE4919"/>
    <w:rsid w:val="415A3997"/>
    <w:rsid w:val="43104C52"/>
    <w:rsid w:val="447E5816"/>
    <w:rsid w:val="460F3D25"/>
    <w:rsid w:val="46BE3ED3"/>
    <w:rsid w:val="471156BB"/>
    <w:rsid w:val="47943BBE"/>
    <w:rsid w:val="490C4179"/>
    <w:rsid w:val="4A900F55"/>
    <w:rsid w:val="4B9860CB"/>
    <w:rsid w:val="4BAA16BB"/>
    <w:rsid w:val="4F834FE7"/>
    <w:rsid w:val="4FBF331F"/>
    <w:rsid w:val="50031000"/>
    <w:rsid w:val="510D58E0"/>
    <w:rsid w:val="52613D7C"/>
    <w:rsid w:val="52755A03"/>
    <w:rsid w:val="53CD6CE4"/>
    <w:rsid w:val="53EC0AE4"/>
    <w:rsid w:val="54481734"/>
    <w:rsid w:val="55B4558A"/>
    <w:rsid w:val="55FF495B"/>
    <w:rsid w:val="562513EF"/>
    <w:rsid w:val="57286726"/>
    <w:rsid w:val="57901560"/>
    <w:rsid w:val="58285609"/>
    <w:rsid w:val="583550E4"/>
    <w:rsid w:val="59574A3C"/>
    <w:rsid w:val="597F2A58"/>
    <w:rsid w:val="5AB73925"/>
    <w:rsid w:val="5C0559DF"/>
    <w:rsid w:val="5D360B4D"/>
    <w:rsid w:val="5D492E52"/>
    <w:rsid w:val="5F3E0D42"/>
    <w:rsid w:val="60A92DAD"/>
    <w:rsid w:val="61A14849"/>
    <w:rsid w:val="62B81E17"/>
    <w:rsid w:val="62CA13B8"/>
    <w:rsid w:val="62E4564B"/>
    <w:rsid w:val="62ED094C"/>
    <w:rsid w:val="638F74E9"/>
    <w:rsid w:val="63C14A67"/>
    <w:rsid w:val="63F240EB"/>
    <w:rsid w:val="64945379"/>
    <w:rsid w:val="65031213"/>
    <w:rsid w:val="663B32BB"/>
    <w:rsid w:val="669278C0"/>
    <w:rsid w:val="66D342D5"/>
    <w:rsid w:val="66FA0B19"/>
    <w:rsid w:val="674A3DFA"/>
    <w:rsid w:val="67DA6C20"/>
    <w:rsid w:val="68065A78"/>
    <w:rsid w:val="6A174BE0"/>
    <w:rsid w:val="6A4846AF"/>
    <w:rsid w:val="6A972054"/>
    <w:rsid w:val="6B1055EB"/>
    <w:rsid w:val="6B9432BD"/>
    <w:rsid w:val="6CD15C63"/>
    <w:rsid w:val="6D40655B"/>
    <w:rsid w:val="6E280F5D"/>
    <w:rsid w:val="6EF713B5"/>
    <w:rsid w:val="6F6643D2"/>
    <w:rsid w:val="6FA07E17"/>
    <w:rsid w:val="6FB15D7E"/>
    <w:rsid w:val="70C07F43"/>
    <w:rsid w:val="71502ECE"/>
    <w:rsid w:val="71A70346"/>
    <w:rsid w:val="71DD2B40"/>
    <w:rsid w:val="72EE7946"/>
    <w:rsid w:val="757F2650"/>
    <w:rsid w:val="758060AC"/>
    <w:rsid w:val="75AF6930"/>
    <w:rsid w:val="76F424AE"/>
    <w:rsid w:val="77A9066F"/>
    <w:rsid w:val="77B83B0E"/>
    <w:rsid w:val="78164137"/>
    <w:rsid w:val="79984F13"/>
    <w:rsid w:val="7A322DF7"/>
    <w:rsid w:val="7B0A54A0"/>
    <w:rsid w:val="7B774594"/>
    <w:rsid w:val="7B9E6EDA"/>
    <w:rsid w:val="7C910927"/>
    <w:rsid w:val="7D860551"/>
    <w:rsid w:val="7DB91FCA"/>
    <w:rsid w:val="7E0A132B"/>
    <w:rsid w:val="7ED31466"/>
    <w:rsid w:val="7EFD52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4"/>
      <w:szCs w:val="24"/>
      <w:lang w:val="en-US" w:eastAsia="zh-CN" w:bidi="ar-SA"/>
    </w:rPr>
  </w:style>
  <w:style w:type="paragraph" w:styleId="2">
    <w:name w:val="heading 1"/>
    <w:basedOn w:val="1"/>
    <w:next w:val="1"/>
    <w:link w:val="85"/>
    <w:qFormat/>
    <w:uiPriority w:val="9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2"/>
    <w:basedOn w:val="1"/>
    <w:next w:val="4"/>
    <w:link w:val="87"/>
    <w:qFormat/>
    <w:locked/>
    <w:uiPriority w:val="99"/>
    <w:pPr>
      <w:spacing w:beforeLines="50" w:afterLines="50" w:line="400" w:lineRule="exact"/>
      <w:jc w:val="left"/>
      <w:outlineLvl w:val="1"/>
    </w:pPr>
    <w:rPr>
      <w:rFonts w:ascii="黑体" w:hAnsi="Times New Roman" w:eastAsia="黑体" w:cs="Times New Roman"/>
      <w:color w:val="000000"/>
      <w:kern w:val="0"/>
      <w:sz w:val="28"/>
      <w:szCs w:val="28"/>
    </w:rPr>
  </w:style>
  <w:style w:type="paragraph" w:styleId="5">
    <w:name w:val="heading 3"/>
    <w:basedOn w:val="1"/>
    <w:next w:val="1"/>
    <w:link w:val="83"/>
    <w:qFormat/>
    <w:locked/>
    <w:uiPriority w:val="99"/>
    <w:pPr>
      <w:spacing w:beforeAutospacing="1" w:afterAutospacing="1"/>
      <w:jc w:val="left"/>
      <w:outlineLvl w:val="2"/>
    </w:pPr>
    <w:rPr>
      <w:rFonts w:ascii="宋体" w:hAnsi="宋体" w:cs="Times New Roman"/>
      <w:b/>
      <w:kern w:val="0"/>
      <w:sz w:val="27"/>
      <w:szCs w:val="27"/>
    </w:rPr>
  </w:style>
  <w:style w:type="paragraph" w:styleId="6">
    <w:name w:val="heading 4"/>
    <w:basedOn w:val="1"/>
    <w:next w:val="1"/>
    <w:link w:val="78"/>
    <w:qFormat/>
    <w:locked/>
    <w:uiPriority w:val="99"/>
    <w:pPr>
      <w:keepNext/>
      <w:keepLines/>
      <w:spacing w:line="377" w:lineRule="auto"/>
      <w:outlineLvl w:val="3"/>
    </w:pPr>
    <w:rPr>
      <w:rFonts w:ascii="Arial" w:hAnsi="Arial" w:eastAsia="黑体" w:cs="Times New Roman"/>
      <w:b/>
      <w:color w:val="008000"/>
      <w:kern w:val="0"/>
      <w:sz w:val="28"/>
      <w:szCs w:val="20"/>
    </w:rPr>
  </w:style>
  <w:style w:type="character" w:default="1" w:styleId="22">
    <w:name w:val="Default Paragraph Font"/>
    <w:semiHidden/>
    <w:unhideWhenUsed/>
    <w:uiPriority w:val="1"/>
  </w:style>
  <w:style w:type="table" w:default="1" w:styleId="29">
    <w:name w:val="Normal Table"/>
    <w:semiHidden/>
    <w:unhideWhenUsed/>
    <w:uiPriority w:val="99"/>
    <w:tblPr>
      <w:tblLayout w:type="fixed"/>
      <w:tblCellMar>
        <w:top w:w="0" w:type="dxa"/>
        <w:left w:w="108" w:type="dxa"/>
        <w:bottom w:w="0" w:type="dxa"/>
        <w:right w:w="108" w:type="dxa"/>
      </w:tblCellMar>
    </w:tblPr>
  </w:style>
  <w:style w:type="paragraph" w:styleId="4">
    <w:name w:val="Normal Indent"/>
    <w:basedOn w:val="1"/>
    <w:qFormat/>
    <w:uiPriority w:val="99"/>
    <w:pPr>
      <w:ind w:firstLine="420"/>
    </w:pPr>
    <w:rPr>
      <w:rFonts w:ascii="Times New Roman" w:hAnsi="Times New Roman" w:cs="Times New Roman"/>
      <w:sz w:val="21"/>
      <w:szCs w:val="20"/>
    </w:rPr>
  </w:style>
  <w:style w:type="paragraph" w:styleId="7">
    <w:name w:val="annotation subject"/>
    <w:basedOn w:val="8"/>
    <w:next w:val="8"/>
    <w:link w:val="95"/>
    <w:unhideWhenUsed/>
    <w:qFormat/>
    <w:uiPriority w:val="0"/>
  </w:style>
  <w:style w:type="paragraph" w:styleId="8">
    <w:name w:val="annotation text"/>
    <w:basedOn w:val="1"/>
    <w:link w:val="88"/>
    <w:unhideWhenUsed/>
    <w:qFormat/>
    <w:uiPriority w:val="99"/>
    <w:pPr>
      <w:jc w:val="left"/>
    </w:pPr>
    <w:rPr>
      <w:rFonts w:cs="Times New Roman"/>
    </w:rPr>
  </w:style>
  <w:style w:type="paragraph" w:styleId="9">
    <w:name w:val="Document Map"/>
    <w:basedOn w:val="1"/>
    <w:link w:val="97"/>
    <w:semiHidden/>
    <w:qFormat/>
    <w:uiPriority w:val="99"/>
    <w:pPr>
      <w:shd w:val="clear" w:color="auto" w:fill="000080"/>
    </w:pPr>
    <w:rPr>
      <w:rFonts w:ascii="Times New Roman" w:hAnsi="Times New Roman" w:cs="Times New Roman"/>
      <w:kern w:val="0"/>
      <w:sz w:val="20"/>
      <w:szCs w:val="20"/>
    </w:rPr>
  </w:style>
  <w:style w:type="paragraph" w:styleId="10">
    <w:name w:val="Body Text"/>
    <w:basedOn w:val="1"/>
    <w:link w:val="81"/>
    <w:unhideWhenUsed/>
    <w:qFormat/>
    <w:uiPriority w:val="99"/>
    <w:pPr>
      <w:spacing w:after="120"/>
    </w:pPr>
    <w:rPr>
      <w:rFonts w:cs="Times New Roman"/>
      <w:kern w:val="0"/>
      <w:sz w:val="20"/>
      <w:szCs w:val="20"/>
    </w:rPr>
  </w:style>
  <w:style w:type="paragraph" w:styleId="11">
    <w:name w:val="toc 3"/>
    <w:basedOn w:val="1"/>
    <w:next w:val="1"/>
    <w:qFormat/>
    <w:locked/>
    <w:uiPriority w:val="39"/>
    <w:pPr>
      <w:tabs>
        <w:tab w:val="right" w:leader="dot" w:pos="9061"/>
      </w:tabs>
      <w:ind w:left="718" w:leftChars="342" w:firstLine="120" w:firstLineChars="57"/>
    </w:pPr>
    <w:rPr>
      <w:rFonts w:ascii="Times New Roman" w:hAnsi="Times New Roman" w:cs="Times New Roman"/>
      <w:sz w:val="21"/>
      <w:szCs w:val="20"/>
    </w:rPr>
  </w:style>
  <w:style w:type="paragraph" w:styleId="12">
    <w:name w:val="Plain Text"/>
    <w:basedOn w:val="1"/>
    <w:link w:val="75"/>
    <w:qFormat/>
    <w:uiPriority w:val="0"/>
    <w:rPr>
      <w:rFonts w:ascii="宋体" w:hAnsi="Courier New" w:cs="Times New Roman"/>
      <w:kern w:val="0"/>
      <w:sz w:val="20"/>
      <w:szCs w:val="20"/>
    </w:rPr>
  </w:style>
  <w:style w:type="paragraph" w:styleId="13">
    <w:name w:val="Date"/>
    <w:basedOn w:val="1"/>
    <w:next w:val="1"/>
    <w:link w:val="74"/>
    <w:qFormat/>
    <w:uiPriority w:val="99"/>
    <w:pPr>
      <w:ind w:left="100" w:leftChars="2500"/>
    </w:pPr>
    <w:rPr>
      <w:rFonts w:ascii="宋体" w:hAnsi="Times New Roman" w:cs="Times New Roman"/>
      <w:kern w:val="0"/>
    </w:rPr>
  </w:style>
  <w:style w:type="paragraph" w:styleId="14">
    <w:name w:val="Balloon Text"/>
    <w:basedOn w:val="1"/>
    <w:link w:val="92"/>
    <w:unhideWhenUsed/>
    <w:qFormat/>
    <w:uiPriority w:val="99"/>
    <w:rPr>
      <w:rFonts w:ascii="Times New Roman" w:hAnsi="Times New Roman" w:cs="Times New Roman"/>
      <w:kern w:val="0"/>
      <w:sz w:val="18"/>
      <w:szCs w:val="18"/>
    </w:rPr>
  </w:style>
  <w:style w:type="paragraph" w:styleId="15">
    <w:name w:val="footer"/>
    <w:basedOn w:val="1"/>
    <w:link w:val="96"/>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6">
    <w:name w:val="header"/>
    <w:basedOn w:val="1"/>
    <w:link w:val="94"/>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7">
    <w:name w:val="toc 1"/>
    <w:basedOn w:val="1"/>
    <w:next w:val="1"/>
    <w:qFormat/>
    <w:locked/>
    <w:uiPriority w:val="39"/>
    <w:pPr>
      <w:tabs>
        <w:tab w:val="right" w:leader="dot" w:pos="9061"/>
      </w:tabs>
      <w:spacing w:beforeLines="100" w:afterLines="100" w:line="440" w:lineRule="exact"/>
      <w:jc w:val="center"/>
    </w:pPr>
    <w:rPr>
      <w:rFonts w:ascii="Times New Roman" w:hAnsi="Times New Roman" w:eastAsia="黑体" w:cs="Times New Roman"/>
      <w:sz w:val="28"/>
      <w:szCs w:val="28"/>
    </w:rPr>
  </w:style>
  <w:style w:type="paragraph" w:styleId="18">
    <w:name w:val="Body Text Indent 3"/>
    <w:basedOn w:val="1"/>
    <w:link w:val="82"/>
    <w:qFormat/>
    <w:uiPriority w:val="0"/>
    <w:pPr>
      <w:ind w:left="1260" w:hanging="1260" w:hangingChars="600"/>
    </w:pPr>
    <w:rPr>
      <w:rFonts w:ascii="仿宋_GB2312" w:hAnsi="Times New Roman" w:eastAsia="仿宋_GB2312" w:cs="Times New Roman"/>
      <w:kern w:val="0"/>
      <w:sz w:val="20"/>
      <w:szCs w:val="30"/>
    </w:rPr>
  </w:style>
  <w:style w:type="paragraph" w:styleId="19">
    <w:name w:val="toc 2"/>
    <w:basedOn w:val="1"/>
    <w:next w:val="1"/>
    <w:qFormat/>
    <w:locked/>
    <w:uiPriority w:val="39"/>
    <w:pPr>
      <w:ind w:left="420" w:leftChars="200"/>
    </w:pPr>
    <w:rPr>
      <w:rFonts w:ascii="Times New Roman" w:hAnsi="Times New Roman" w:cs="Times New Roman"/>
      <w:sz w:val="21"/>
      <w:szCs w:val="20"/>
    </w:rPr>
  </w:style>
  <w:style w:type="paragraph" w:styleId="20">
    <w:name w:val="Normal (Web)"/>
    <w:basedOn w:val="1"/>
    <w:unhideWhenUsed/>
    <w:qFormat/>
    <w:uiPriority w:val="99"/>
    <w:pPr>
      <w:spacing w:beforeAutospacing="1" w:afterAutospacing="1"/>
      <w:jc w:val="left"/>
    </w:pPr>
    <w:rPr>
      <w:rFonts w:cs="Times New Roman"/>
      <w:kern w:val="0"/>
      <w:szCs w:val="22"/>
    </w:rPr>
  </w:style>
  <w:style w:type="paragraph" w:styleId="21">
    <w:name w:val="Title"/>
    <w:basedOn w:val="1"/>
    <w:link w:val="91"/>
    <w:qFormat/>
    <w:locked/>
    <w:uiPriority w:val="99"/>
    <w:pPr>
      <w:spacing w:before="120" w:after="60"/>
      <w:jc w:val="center"/>
      <w:outlineLvl w:val="0"/>
    </w:pPr>
    <w:rPr>
      <w:rFonts w:ascii="Arial" w:hAnsi="Arial" w:cs="Times New Roman"/>
      <w:b/>
      <w:bCs/>
      <w:kern w:val="0"/>
      <w:sz w:val="32"/>
      <w:szCs w:val="32"/>
    </w:rPr>
  </w:style>
  <w:style w:type="character" w:styleId="23">
    <w:name w:val="Strong"/>
    <w:qFormat/>
    <w:uiPriority w:val="22"/>
    <w:rPr>
      <w:b/>
      <w:bCs/>
    </w:rPr>
  </w:style>
  <w:style w:type="character" w:styleId="24">
    <w:name w:val="page number"/>
    <w:qFormat/>
    <w:uiPriority w:val="99"/>
    <w:rPr>
      <w:rFonts w:cs="Times New Roman"/>
    </w:rPr>
  </w:style>
  <w:style w:type="character" w:styleId="25">
    <w:name w:val="FollowedHyperlink"/>
    <w:qFormat/>
    <w:uiPriority w:val="99"/>
    <w:rPr>
      <w:rFonts w:cs="Times New Roman"/>
      <w:color w:val="000080"/>
      <w:u w:val="single"/>
    </w:rPr>
  </w:style>
  <w:style w:type="character" w:styleId="26">
    <w:name w:val="Emphasis"/>
    <w:qFormat/>
    <w:locked/>
    <w:uiPriority w:val="20"/>
  </w:style>
  <w:style w:type="character" w:styleId="27">
    <w:name w:val="Hyperlink"/>
    <w:qFormat/>
    <w:uiPriority w:val="0"/>
    <w:rPr>
      <w:color w:val="666666"/>
      <w:u w:val="none"/>
    </w:rPr>
  </w:style>
  <w:style w:type="character" w:styleId="28">
    <w:name w:val="annotation reference"/>
    <w:unhideWhenUsed/>
    <w:qFormat/>
    <w:uiPriority w:val="99"/>
    <w:rPr>
      <w:sz w:val="21"/>
      <w:szCs w:val="21"/>
    </w:rPr>
  </w:style>
  <w:style w:type="table" w:styleId="30">
    <w:name w:val="Table Grid"/>
    <w:basedOn w:val="29"/>
    <w:qFormat/>
    <w:uiPriority w:val="59"/>
    <w:rPr>
      <w:rFonts w:cs="Calibri"/>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3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12"/>
      <w:szCs w:val="12"/>
    </w:rPr>
  </w:style>
  <w:style w:type="paragraph" w:customStyle="1" w:styleId="33">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34">
    <w:name w:val="xl39"/>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2"/>
      <w:szCs w:val="12"/>
    </w:rPr>
  </w:style>
  <w:style w:type="paragraph" w:customStyle="1" w:styleId="35">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宋体" w:hAnsi="宋体" w:cs="宋体"/>
      <w:kern w:val="0"/>
    </w:rPr>
  </w:style>
  <w:style w:type="paragraph" w:customStyle="1" w:styleId="36">
    <w:name w:val="font0"/>
    <w:basedOn w:val="1"/>
    <w:qFormat/>
    <w:uiPriority w:val="99"/>
    <w:pPr>
      <w:widowControl/>
      <w:spacing w:before="100" w:beforeAutospacing="1" w:after="100" w:afterAutospacing="1"/>
      <w:jc w:val="left"/>
    </w:pPr>
    <w:rPr>
      <w:rFonts w:ascii="Arial" w:hAnsi="Arial" w:cs="Arial"/>
      <w:kern w:val="0"/>
      <w:sz w:val="20"/>
      <w:szCs w:val="20"/>
    </w:rPr>
  </w:style>
  <w:style w:type="paragraph" w:customStyle="1" w:styleId="37">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2"/>
      <w:szCs w:val="12"/>
    </w:rPr>
  </w:style>
  <w:style w:type="paragraph" w:customStyle="1" w:styleId="38">
    <w:name w:val="修订1"/>
    <w:unhideWhenUsed/>
    <w:qFormat/>
    <w:uiPriority w:val="99"/>
    <w:rPr>
      <w:rFonts w:ascii="Calibri" w:hAnsi="Calibri" w:eastAsia="宋体" w:cs="Calibri"/>
      <w:kern w:val="2"/>
      <w:sz w:val="24"/>
      <w:szCs w:val="24"/>
      <w:lang w:val="en-US" w:eastAsia="zh-CN" w:bidi="ar-SA"/>
    </w:rPr>
  </w:style>
  <w:style w:type="paragraph" w:customStyle="1" w:styleId="3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0">
    <w:name w:val="样式1"/>
    <w:basedOn w:val="3"/>
    <w:qFormat/>
    <w:uiPriority w:val="99"/>
    <w:pPr>
      <w:spacing w:line="415" w:lineRule="auto"/>
    </w:pPr>
    <w:rPr>
      <w:rFonts w:eastAsia="楷体_GB2312"/>
      <w:bCs/>
      <w:color w:val="0000FF"/>
      <w:szCs w:val="32"/>
    </w:rPr>
  </w:style>
  <w:style w:type="paragraph" w:customStyle="1" w:styleId="41">
    <w:name w:val="Char1 Char Char Char Char Char Char"/>
    <w:basedOn w:val="1"/>
    <w:qFormat/>
    <w:uiPriority w:val="99"/>
    <w:pPr>
      <w:tabs>
        <w:tab w:val="left" w:pos="360"/>
      </w:tabs>
      <w:ind w:left="360" w:hanging="360"/>
    </w:pPr>
    <w:rPr>
      <w:rFonts w:ascii="Times New Roman" w:hAnsi="Times New Roman" w:cs="Times New Roman"/>
      <w:kern w:val="10"/>
      <w:szCs w:val="32"/>
      <w:u w:val="single"/>
    </w:rPr>
  </w:style>
  <w:style w:type="paragraph" w:customStyle="1" w:styleId="42">
    <w:name w:val="Char"/>
    <w:basedOn w:val="1"/>
    <w:qFormat/>
    <w:uiPriority w:val="99"/>
    <w:pPr>
      <w:tabs>
        <w:tab w:val="left" w:pos="420"/>
      </w:tabs>
      <w:ind w:left="420"/>
    </w:pPr>
    <w:rPr>
      <w:rFonts w:ascii="Times New Roman" w:hAnsi="Times New Roman" w:cs="Times New Roman"/>
    </w:rPr>
  </w:style>
  <w:style w:type="paragraph" w:customStyle="1" w:styleId="43">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44">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45">
    <w:name w:val="列出段落1"/>
    <w:basedOn w:val="1"/>
    <w:qFormat/>
    <w:uiPriority w:val="34"/>
    <w:pPr>
      <w:ind w:firstLine="420" w:firstLineChars="200"/>
    </w:pPr>
    <w:rPr>
      <w:rFonts w:cs="Times New Roman"/>
      <w:sz w:val="21"/>
      <w:szCs w:val="22"/>
    </w:rPr>
  </w:style>
  <w:style w:type="paragraph" w:styleId="46">
    <w:name w:val="List Paragraph"/>
    <w:basedOn w:val="1"/>
    <w:qFormat/>
    <w:uiPriority w:val="34"/>
    <w:pPr>
      <w:ind w:firstLine="420" w:firstLineChars="200"/>
    </w:pPr>
    <w:rPr>
      <w:rFonts w:cs="Times New Roman"/>
      <w:sz w:val="21"/>
      <w:szCs w:val="22"/>
    </w:rPr>
  </w:style>
  <w:style w:type="paragraph" w:customStyle="1" w:styleId="4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48">
    <w:name w:val="样式2"/>
    <w:basedOn w:val="3"/>
    <w:qFormat/>
    <w:uiPriority w:val="99"/>
    <w:pPr>
      <w:spacing w:line="415" w:lineRule="auto"/>
    </w:pPr>
    <w:rPr>
      <w:rFonts w:eastAsia="楷体_GB2312"/>
      <w:bCs/>
      <w:color w:val="00FF00"/>
      <w:szCs w:val="32"/>
    </w:rPr>
  </w:style>
  <w:style w:type="paragraph" w:customStyle="1" w:styleId="4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
    <w:name w:val="xl43"/>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52">
    <w:name w:val="Char3"/>
    <w:basedOn w:val="1"/>
    <w:qFormat/>
    <w:uiPriority w:val="99"/>
    <w:pPr>
      <w:tabs>
        <w:tab w:val="left" w:pos="420"/>
      </w:tabs>
      <w:ind w:left="420"/>
    </w:pPr>
    <w:rPr>
      <w:rFonts w:ascii="Times New Roman" w:hAnsi="Times New Roman" w:cs="Times New Roman"/>
    </w:rPr>
  </w:style>
  <w:style w:type="paragraph" w:customStyle="1" w:styleId="53">
    <w:name w:val="xl64"/>
    <w:basedOn w:val="1"/>
    <w:qFormat/>
    <w:uiPriority w:val="0"/>
    <w:pPr>
      <w:widowControl/>
      <w:spacing w:before="100" w:beforeAutospacing="1" w:after="100" w:afterAutospacing="1"/>
      <w:jc w:val="left"/>
    </w:pPr>
    <w:rPr>
      <w:rFonts w:ascii="宋体" w:hAnsi="宋体" w:cs="宋体"/>
      <w:kern w:val="0"/>
    </w:rPr>
  </w:style>
  <w:style w:type="paragraph" w:customStyle="1" w:styleId="54">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5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6">
    <w:name w:val="Char1 Char Char Char Char Char Char2"/>
    <w:basedOn w:val="1"/>
    <w:qFormat/>
    <w:uiPriority w:val="99"/>
    <w:pPr>
      <w:tabs>
        <w:tab w:val="left" w:pos="360"/>
      </w:tabs>
      <w:ind w:left="360" w:hanging="360"/>
    </w:pPr>
    <w:rPr>
      <w:rFonts w:ascii="Times New Roman" w:hAnsi="Times New Roman" w:cs="Times New Roman"/>
      <w:kern w:val="10"/>
      <w:szCs w:val="32"/>
      <w:u w:val="single"/>
    </w:rPr>
  </w:style>
  <w:style w:type="paragraph" w:customStyle="1" w:styleId="5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58">
    <w:name w:val="Char1 Char Char Char Char Char Char1"/>
    <w:basedOn w:val="1"/>
    <w:qFormat/>
    <w:uiPriority w:val="99"/>
    <w:pPr>
      <w:tabs>
        <w:tab w:val="left" w:pos="360"/>
      </w:tabs>
      <w:ind w:left="360" w:hanging="360"/>
    </w:pPr>
    <w:rPr>
      <w:rFonts w:ascii="Times New Roman" w:hAnsi="Times New Roman" w:cs="Times New Roman"/>
      <w:kern w:val="10"/>
      <w:u w:val="single"/>
    </w:rPr>
  </w:style>
  <w:style w:type="paragraph" w:customStyle="1" w:styleId="5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0">
    <w:name w:val="custom_unionstyle"/>
    <w:basedOn w:val="1"/>
    <w:qFormat/>
    <w:uiPriority w:val="99"/>
    <w:pPr>
      <w:widowControl/>
      <w:spacing w:before="100" w:beforeAutospacing="1" w:after="100" w:afterAutospacing="1"/>
      <w:jc w:val="left"/>
    </w:pPr>
    <w:rPr>
      <w:rFonts w:ascii="Times New Roman" w:hAnsi="Times New Roman" w:cs="Times New Roman"/>
      <w:kern w:val="0"/>
    </w:rPr>
  </w:style>
  <w:style w:type="paragraph" w:customStyle="1" w:styleId="61">
    <w:name w:val="样式 标题 3 + 自动设置"/>
    <w:basedOn w:val="5"/>
    <w:qFormat/>
    <w:uiPriority w:val="99"/>
    <w:pPr>
      <w:keepNext/>
      <w:keepLines/>
      <w:spacing w:beforeLines="30" w:beforeAutospacing="0" w:afterLines="30" w:afterAutospacing="0" w:line="400" w:lineRule="exact"/>
    </w:pPr>
    <w:rPr>
      <w:rFonts w:ascii="方正小标宋简体" w:hAnsi="Times New Roman" w:eastAsia="方正小标宋简体"/>
      <w:bCs/>
      <w:color w:val="000000"/>
      <w:kern w:val="2"/>
      <w:sz w:val="26"/>
      <w:szCs w:val="24"/>
    </w:rPr>
  </w:style>
  <w:style w:type="paragraph" w:customStyle="1" w:styleId="62">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63">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rPr>
  </w:style>
  <w:style w:type="paragraph" w:customStyle="1" w:styleId="64">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rPr>
  </w:style>
  <w:style w:type="paragraph" w:customStyle="1" w:styleId="65">
    <w:name w:val="Char2"/>
    <w:basedOn w:val="1"/>
    <w:qFormat/>
    <w:uiPriority w:val="99"/>
    <w:pPr>
      <w:tabs>
        <w:tab w:val="left" w:pos="420"/>
      </w:tabs>
      <w:ind w:left="420"/>
    </w:pPr>
    <w:rPr>
      <w:rFonts w:ascii="Times New Roman" w:hAnsi="Times New Roman" w:cs="Times New Roman"/>
    </w:rPr>
  </w:style>
  <w:style w:type="paragraph" w:customStyle="1" w:styleId="66">
    <w:name w:val="Char1"/>
    <w:basedOn w:val="1"/>
    <w:qFormat/>
    <w:uiPriority w:val="99"/>
    <w:pPr>
      <w:tabs>
        <w:tab w:val="left" w:pos="420"/>
      </w:tabs>
      <w:ind w:left="420"/>
    </w:pPr>
    <w:rPr>
      <w:rFonts w:ascii="Times New Roman" w:hAnsi="Times New Roman" w:cs="Times New Roman"/>
    </w:rPr>
  </w:style>
  <w:style w:type="paragraph" w:customStyle="1" w:styleId="67">
    <w:name w:val="Char Char Char Char Char Char Char Char Char"/>
    <w:basedOn w:val="1"/>
    <w:qFormat/>
    <w:uiPriority w:val="99"/>
    <w:pPr>
      <w:widowControl/>
      <w:spacing w:after="160" w:line="240" w:lineRule="exact"/>
      <w:jc w:val="left"/>
    </w:pPr>
    <w:rPr>
      <w:rFonts w:ascii="Verdana" w:hAnsi="Verdana" w:eastAsia="仿宋_GB2312" w:cs="Verdana"/>
      <w:kern w:val="0"/>
      <w:lang w:eastAsia="en-US"/>
    </w:rPr>
  </w:style>
  <w:style w:type="paragraph" w:customStyle="1" w:styleId="68">
    <w:name w:val="样式"/>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69">
    <w:name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7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rPr>
  </w:style>
  <w:style w:type="paragraph" w:customStyle="1" w:styleId="71">
    <w:name w:val="xl6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72">
    <w:name w:val="_Style 71"/>
    <w:unhideWhenUsed/>
    <w:qFormat/>
    <w:uiPriority w:val="99"/>
    <w:rPr>
      <w:rFonts w:ascii="Calibri" w:hAnsi="Calibri" w:eastAsia="宋体" w:cs="Calibri"/>
      <w:kern w:val="2"/>
      <w:sz w:val="24"/>
      <w:szCs w:val="24"/>
      <w:lang w:val="en-US" w:eastAsia="zh-CN" w:bidi="ar-SA"/>
    </w:rPr>
  </w:style>
  <w:style w:type="character" w:customStyle="1" w:styleId="73">
    <w:name w:val="font21"/>
    <w:qFormat/>
    <w:uiPriority w:val="0"/>
    <w:rPr>
      <w:rFonts w:hint="eastAsia" w:ascii="宋体" w:hAnsi="宋体" w:eastAsia="宋体" w:cs="宋体"/>
      <w:color w:val="000000"/>
      <w:sz w:val="18"/>
      <w:szCs w:val="18"/>
      <w:u w:val="none"/>
    </w:rPr>
  </w:style>
  <w:style w:type="character" w:customStyle="1" w:styleId="74">
    <w:name w:val="日期 字符"/>
    <w:link w:val="13"/>
    <w:qFormat/>
    <w:uiPriority w:val="99"/>
    <w:rPr>
      <w:rFonts w:ascii="宋体" w:hAnsi="Times New Roman"/>
      <w:sz w:val="24"/>
      <w:szCs w:val="24"/>
    </w:rPr>
  </w:style>
  <w:style w:type="character" w:customStyle="1" w:styleId="75">
    <w:name w:val="纯文本 字符"/>
    <w:link w:val="12"/>
    <w:qFormat/>
    <w:uiPriority w:val="0"/>
    <w:rPr>
      <w:rFonts w:ascii="宋体" w:hAnsi="Courier New"/>
      <w:szCs w:val="20"/>
    </w:rPr>
  </w:style>
  <w:style w:type="character" w:customStyle="1" w:styleId="76">
    <w:name w:val="font91"/>
    <w:qFormat/>
    <w:uiPriority w:val="0"/>
    <w:rPr>
      <w:rFonts w:hint="default" w:ascii="Times New Roman" w:hAnsi="Times New Roman" w:cs="Times New Roman"/>
      <w:color w:val="000000"/>
      <w:sz w:val="18"/>
      <w:szCs w:val="18"/>
      <w:u w:val="none"/>
    </w:rPr>
  </w:style>
  <w:style w:type="character" w:customStyle="1" w:styleId="77">
    <w:name w:val="font311"/>
    <w:qFormat/>
    <w:uiPriority w:val="0"/>
    <w:rPr>
      <w:rFonts w:hint="eastAsia" w:ascii="等线" w:hAnsi="等线" w:eastAsia="等线"/>
      <w:color w:val="000000"/>
      <w:sz w:val="21"/>
      <w:szCs w:val="21"/>
      <w:u w:val="none"/>
    </w:rPr>
  </w:style>
  <w:style w:type="character" w:customStyle="1" w:styleId="78">
    <w:name w:val="标题 4 字符"/>
    <w:link w:val="6"/>
    <w:qFormat/>
    <w:uiPriority w:val="99"/>
    <w:rPr>
      <w:rFonts w:ascii="Arial" w:hAnsi="Arial" w:eastAsia="黑体"/>
      <w:b/>
      <w:color w:val="008000"/>
      <w:sz w:val="28"/>
      <w:szCs w:val="20"/>
    </w:rPr>
  </w:style>
  <w:style w:type="character" w:customStyle="1" w:styleId="79">
    <w:name w:val="font251"/>
    <w:qFormat/>
    <w:uiPriority w:val="0"/>
    <w:rPr>
      <w:rFonts w:hint="eastAsia" w:ascii="宋体" w:hAnsi="宋体" w:eastAsia="宋体"/>
      <w:color w:val="000000"/>
      <w:sz w:val="21"/>
      <w:szCs w:val="21"/>
      <w:u w:val="none"/>
    </w:rPr>
  </w:style>
  <w:style w:type="character" w:customStyle="1" w:styleId="80">
    <w:name w:val="font61"/>
    <w:qFormat/>
    <w:uiPriority w:val="0"/>
    <w:rPr>
      <w:rFonts w:hint="eastAsia" w:ascii="宋体" w:hAnsi="宋体" w:eastAsia="宋体" w:cs="宋体"/>
      <w:color w:val="000000"/>
      <w:sz w:val="20"/>
      <w:szCs w:val="20"/>
      <w:u w:val="none"/>
    </w:rPr>
  </w:style>
  <w:style w:type="character" w:customStyle="1" w:styleId="81">
    <w:name w:val="正文文本 字符"/>
    <w:link w:val="10"/>
    <w:qFormat/>
    <w:uiPriority w:val="99"/>
    <w:rPr>
      <w:rFonts w:ascii="Calibri" w:hAnsi="Calibri" w:eastAsia="宋体" w:cs="Times New Roman"/>
    </w:rPr>
  </w:style>
  <w:style w:type="character" w:customStyle="1" w:styleId="82">
    <w:name w:val="正文文本缩进 3 字符"/>
    <w:link w:val="18"/>
    <w:qFormat/>
    <w:uiPriority w:val="0"/>
    <w:rPr>
      <w:rFonts w:ascii="仿宋_GB2312" w:hAnsi="Times New Roman" w:eastAsia="仿宋_GB2312"/>
      <w:szCs w:val="30"/>
    </w:rPr>
  </w:style>
  <w:style w:type="character" w:customStyle="1" w:styleId="83">
    <w:name w:val="标题 3 字符"/>
    <w:link w:val="5"/>
    <w:qFormat/>
    <w:uiPriority w:val="99"/>
    <w:rPr>
      <w:rFonts w:ascii="宋体" w:hAnsi="宋体"/>
      <w:b/>
      <w:kern w:val="0"/>
      <w:sz w:val="27"/>
      <w:szCs w:val="27"/>
    </w:rPr>
  </w:style>
  <w:style w:type="character" w:customStyle="1" w:styleId="84">
    <w:name w:val="font112"/>
    <w:qFormat/>
    <w:uiPriority w:val="0"/>
    <w:rPr>
      <w:rFonts w:ascii="黑体" w:hAnsi="宋体" w:eastAsia="黑体" w:cs="黑体"/>
      <w:color w:val="000000"/>
      <w:sz w:val="24"/>
      <w:szCs w:val="24"/>
      <w:u w:val="none"/>
    </w:rPr>
  </w:style>
  <w:style w:type="character" w:customStyle="1" w:styleId="85">
    <w:name w:val="标题 1 字符"/>
    <w:link w:val="2"/>
    <w:qFormat/>
    <w:locked/>
    <w:uiPriority w:val="99"/>
    <w:rPr>
      <w:rFonts w:ascii="Times New Roman" w:hAnsi="Times New Roman" w:cs="Times New Roman"/>
      <w:b/>
      <w:bCs/>
      <w:kern w:val="36"/>
      <w:sz w:val="48"/>
      <w:szCs w:val="48"/>
    </w:rPr>
  </w:style>
  <w:style w:type="character" w:customStyle="1" w:styleId="86">
    <w:name w:val="font41"/>
    <w:qFormat/>
    <w:uiPriority w:val="0"/>
    <w:rPr>
      <w:rFonts w:hint="default" w:ascii="Times New Roman" w:hAnsi="Times New Roman" w:cs="Times New Roman"/>
      <w:color w:val="000000"/>
      <w:sz w:val="24"/>
      <w:szCs w:val="24"/>
      <w:u w:val="none"/>
    </w:rPr>
  </w:style>
  <w:style w:type="character" w:customStyle="1" w:styleId="87">
    <w:name w:val="标题 2 字符"/>
    <w:link w:val="3"/>
    <w:qFormat/>
    <w:uiPriority w:val="99"/>
    <w:rPr>
      <w:rFonts w:ascii="黑体" w:hAnsi="Times New Roman" w:eastAsia="黑体"/>
      <w:color w:val="000000"/>
      <w:sz w:val="28"/>
      <w:szCs w:val="28"/>
    </w:rPr>
  </w:style>
  <w:style w:type="character" w:customStyle="1" w:styleId="88">
    <w:name w:val="批注文字 字符"/>
    <w:link w:val="8"/>
    <w:qFormat/>
    <w:uiPriority w:val="99"/>
    <w:rPr>
      <w:rFonts w:ascii="Calibri" w:hAnsi="Calibri" w:cs="Calibri"/>
      <w:kern w:val="2"/>
      <w:sz w:val="24"/>
      <w:szCs w:val="24"/>
    </w:rPr>
  </w:style>
  <w:style w:type="character" w:customStyle="1" w:styleId="89">
    <w:name w:val="font11"/>
    <w:qFormat/>
    <w:uiPriority w:val="0"/>
    <w:rPr>
      <w:rFonts w:hint="default" w:ascii="Times New Roman" w:hAnsi="Times New Roman" w:cs="Times New Roman"/>
      <w:color w:val="000000"/>
      <w:sz w:val="24"/>
      <w:szCs w:val="24"/>
      <w:u w:val="none"/>
    </w:rPr>
  </w:style>
  <w:style w:type="character" w:customStyle="1" w:styleId="90">
    <w:name w:val="font81"/>
    <w:qFormat/>
    <w:uiPriority w:val="0"/>
    <w:rPr>
      <w:rFonts w:hint="default" w:ascii="Times New Roman" w:hAnsi="Times New Roman" w:cs="Times New Roman"/>
      <w:color w:val="000000"/>
      <w:sz w:val="20"/>
      <w:szCs w:val="20"/>
      <w:u w:val="none"/>
    </w:rPr>
  </w:style>
  <w:style w:type="character" w:customStyle="1" w:styleId="91">
    <w:name w:val="标题 字符"/>
    <w:link w:val="21"/>
    <w:qFormat/>
    <w:uiPriority w:val="99"/>
    <w:rPr>
      <w:rFonts w:ascii="Arial" w:hAnsi="Arial"/>
      <w:b/>
      <w:bCs/>
      <w:sz w:val="32"/>
      <w:szCs w:val="32"/>
    </w:rPr>
  </w:style>
  <w:style w:type="character" w:customStyle="1" w:styleId="92">
    <w:name w:val="批注框文本 字符"/>
    <w:link w:val="14"/>
    <w:semiHidden/>
    <w:qFormat/>
    <w:uiPriority w:val="99"/>
    <w:rPr>
      <w:rFonts w:cs="Calibri"/>
      <w:sz w:val="18"/>
      <w:szCs w:val="18"/>
    </w:rPr>
  </w:style>
  <w:style w:type="character" w:customStyle="1" w:styleId="93">
    <w:name w:val="font101"/>
    <w:qFormat/>
    <w:uiPriority w:val="0"/>
    <w:rPr>
      <w:rFonts w:hint="eastAsia" w:ascii="宋体" w:hAnsi="宋体" w:eastAsia="宋体"/>
      <w:color w:val="000000"/>
      <w:sz w:val="20"/>
      <w:szCs w:val="20"/>
      <w:u w:val="none"/>
    </w:rPr>
  </w:style>
  <w:style w:type="character" w:customStyle="1" w:styleId="94">
    <w:name w:val="页眉 字符"/>
    <w:link w:val="16"/>
    <w:qFormat/>
    <w:locked/>
    <w:uiPriority w:val="99"/>
    <w:rPr>
      <w:sz w:val="18"/>
      <w:szCs w:val="18"/>
    </w:rPr>
  </w:style>
  <w:style w:type="character" w:customStyle="1" w:styleId="95">
    <w:name w:val="批注主题 字符"/>
    <w:link w:val="7"/>
    <w:qFormat/>
    <w:uiPriority w:val="0"/>
    <w:rPr>
      <w:rFonts w:ascii="Calibri" w:hAnsi="Calibri" w:cs="Calibri"/>
      <w:kern w:val="2"/>
      <w:sz w:val="24"/>
      <w:szCs w:val="24"/>
    </w:rPr>
  </w:style>
  <w:style w:type="character" w:customStyle="1" w:styleId="96">
    <w:name w:val="页脚 字符"/>
    <w:link w:val="15"/>
    <w:qFormat/>
    <w:locked/>
    <w:uiPriority w:val="99"/>
    <w:rPr>
      <w:sz w:val="18"/>
      <w:szCs w:val="18"/>
    </w:rPr>
  </w:style>
  <w:style w:type="character" w:customStyle="1" w:styleId="97">
    <w:name w:val="文档结构图 字符"/>
    <w:link w:val="9"/>
    <w:semiHidden/>
    <w:qFormat/>
    <w:uiPriority w:val="99"/>
    <w:rPr>
      <w:rFonts w:ascii="Times New Roman" w:hAnsi="Times New Roman"/>
      <w:szCs w:val="20"/>
      <w:shd w:val="clear" w:color="auto" w:fill="000080"/>
    </w:rPr>
  </w:style>
  <w:style w:type="character" w:customStyle="1" w:styleId="98">
    <w:name w:val="normalfont"/>
    <w:qFormat/>
    <w:uiPriority w:val="99"/>
    <w:rPr>
      <w:rFonts w:cs="Times New Roman"/>
    </w:rPr>
  </w:style>
  <w:style w:type="character" w:customStyle="1" w:styleId="99">
    <w:name w:val="font51"/>
    <w:qFormat/>
    <w:uiPriority w:val="0"/>
    <w:rPr>
      <w:rFonts w:hint="default" w:ascii="Times New Roman" w:hAnsi="Times New Roman" w:cs="Times New Roman"/>
      <w:color w:val="000000"/>
      <w:sz w:val="18"/>
      <w:szCs w:val="18"/>
      <w:u w:val="none"/>
    </w:rPr>
  </w:style>
  <w:style w:type="character" w:customStyle="1" w:styleId="100">
    <w:name w:val="font31"/>
    <w:qFormat/>
    <w:uiPriority w:val="0"/>
    <w:rPr>
      <w:rFonts w:hint="eastAsia" w:ascii="宋体" w:hAnsi="宋体" w:eastAsia="宋体" w:cs="宋体"/>
      <w:color w:val="000000"/>
      <w:sz w:val="24"/>
      <w:szCs w:val="24"/>
      <w:u w:val="none"/>
    </w:rPr>
  </w:style>
  <w:style w:type="character" w:customStyle="1" w:styleId="101">
    <w:name w:val="font7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16032</Words>
  <Characters>91384</Characters>
  <Lines>761</Lines>
  <Paragraphs>214</Paragraphs>
  <TotalTime>1</TotalTime>
  <ScaleCrop>false</ScaleCrop>
  <LinksUpToDate>false</LinksUpToDate>
  <CharactersWithSpaces>107202</CharactersWithSpaces>
  <Application>WPS Office_11.1.0.8203_F1E327BC-269C-435d-A152-05C5408002CA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2019-01-20T23:39:00Z</dcterms:created>
  <dc:creator>hao tong</dc:creator>
  <cp:lastModifiedBy>超</cp:lastModifiedBy>
  <cp:lastPrinted>2018-01-15T01:49:00Z</cp:lastPrinted>
  <dcterms:modified xsi:type="dcterms:W3CDTF">2019-01-21T09:11:20Z</dcterms:modified>
  <dc:title>附件1</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2052-11.1.0.8203</vt:lpwstr>
  </property>
</Properties>
</file>