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 w:cs="Times New Roman"/>
          <w:bCs/>
          <w:color w:val="000000" w:themeColor="text1"/>
          <w:sz w:val="28"/>
          <w:szCs w:val="24"/>
        </w:rPr>
      </w:pPr>
      <w:r>
        <w:rPr>
          <w:rFonts w:ascii="Times New Roman" w:hAnsi="Times New Roman" w:eastAsia="仿宋" w:cs="Times New Roman"/>
          <w:bCs/>
          <w:color w:val="000000" w:themeColor="text1"/>
          <w:sz w:val="28"/>
          <w:szCs w:val="24"/>
        </w:rPr>
        <w:t>附件：</w:t>
      </w:r>
    </w:p>
    <w:p>
      <w:pPr>
        <w:rPr>
          <w:rFonts w:ascii="Times New Roman" w:hAnsi="Times New Roman" w:eastAsia="黑体" w:cs="Times New Roman"/>
          <w:bCs/>
          <w:color w:val="000000" w:themeColor="text1"/>
          <w:sz w:val="28"/>
          <w:szCs w:val="24"/>
        </w:rPr>
      </w:pPr>
    </w:p>
    <w:tbl>
      <w:tblPr>
        <w:tblStyle w:val="22"/>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color w:val="000000" w:themeColor="text1"/>
                <w:sz w:val="24"/>
                <w:szCs w:val="24"/>
              </w:rPr>
            </w:pPr>
            <w:r>
              <w:rPr>
                <w:rFonts w:ascii="Times New Roman" w:hAnsi="Times New Roman" w:eastAsia="楷体_GB2312" w:cs="Times New Roman"/>
                <w:color w:val="000000" w:themeColor="text1"/>
                <w:sz w:val="24"/>
                <w:szCs w:val="24"/>
              </w:rPr>
              <w:t>批准立项年份</w:t>
            </w:r>
          </w:p>
        </w:tc>
        <w:tc>
          <w:tcPr>
            <w:tcW w:w="1800" w:type="dxa"/>
            <w:vAlign w:val="center"/>
          </w:tcPr>
          <w:p>
            <w:pPr>
              <w:snapToGrid w:val="0"/>
              <w:jc w:val="center"/>
              <w:rPr>
                <w:rFonts w:ascii="Times New Roman" w:hAnsi="Times New Roman" w:eastAsia="楷体_GB2312" w:cs="Times New Roman"/>
                <w:color w:val="000000" w:themeColor="text1"/>
                <w:sz w:val="24"/>
                <w:szCs w:val="24"/>
              </w:rPr>
            </w:pPr>
            <w:r>
              <w:rPr>
                <w:rFonts w:ascii="Times New Roman" w:hAnsi="Times New Roman" w:eastAsia="楷体_GB2312" w:cs="Times New Roman"/>
                <w:color w:val="000000" w:themeColor="text1"/>
                <w:sz w:val="24"/>
                <w:szCs w:val="24"/>
              </w:rPr>
              <w:t>2013年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color w:val="000000" w:themeColor="text1"/>
                <w:sz w:val="24"/>
                <w:szCs w:val="24"/>
              </w:rPr>
            </w:pPr>
            <w:r>
              <w:rPr>
                <w:rFonts w:ascii="Times New Roman" w:hAnsi="Times New Roman" w:eastAsia="楷体_GB2312" w:cs="Times New Roman"/>
                <w:color w:val="000000" w:themeColor="text1"/>
                <w:sz w:val="24"/>
                <w:szCs w:val="24"/>
              </w:rPr>
              <w:t>通过验收年份</w:t>
            </w:r>
          </w:p>
        </w:tc>
        <w:tc>
          <w:tcPr>
            <w:tcW w:w="1800" w:type="dxa"/>
            <w:vAlign w:val="center"/>
          </w:tcPr>
          <w:p>
            <w:pPr>
              <w:snapToGrid w:val="0"/>
              <w:jc w:val="center"/>
              <w:rPr>
                <w:rFonts w:ascii="Times New Roman" w:hAnsi="Times New Roman" w:eastAsia="楷体_GB2312" w:cs="Times New Roman"/>
                <w:color w:val="000000" w:themeColor="text1"/>
                <w:sz w:val="24"/>
                <w:szCs w:val="24"/>
              </w:rPr>
            </w:pPr>
          </w:p>
        </w:tc>
      </w:tr>
    </w:tbl>
    <w:p>
      <w:pPr>
        <w:rPr>
          <w:rFonts w:ascii="Times New Roman" w:hAnsi="Times New Roman" w:eastAsia="楷体_GB2312" w:cs="Times New Roman"/>
          <w:color w:val="000000" w:themeColor="text1"/>
          <w:sz w:val="28"/>
          <w:szCs w:val="24"/>
        </w:rPr>
      </w:pPr>
    </w:p>
    <w:p>
      <w:pPr>
        <w:rPr>
          <w:rFonts w:ascii="Times New Roman" w:hAnsi="Times New Roman" w:eastAsia="楷体_GB2312" w:cs="Times New Roman"/>
          <w:color w:val="000000" w:themeColor="text1"/>
          <w:sz w:val="28"/>
          <w:szCs w:val="24"/>
        </w:rPr>
      </w:pPr>
    </w:p>
    <w:p>
      <w:pPr>
        <w:rPr>
          <w:rFonts w:ascii="Times New Roman" w:hAnsi="Times New Roman" w:eastAsia="楷体_GB2312" w:cs="Times New Roman"/>
          <w:color w:val="000000" w:themeColor="text1"/>
          <w:sz w:val="28"/>
          <w:szCs w:val="24"/>
        </w:rPr>
      </w:pPr>
    </w:p>
    <w:p>
      <w:pPr>
        <w:jc w:val="center"/>
        <w:rPr>
          <w:rFonts w:ascii="Times New Roman" w:hAnsi="Times New Roman" w:eastAsia="楷体_GB2312" w:cs="Times New Roman"/>
          <w:color w:val="000000" w:themeColor="text1"/>
          <w:sz w:val="28"/>
          <w:szCs w:val="24"/>
        </w:rPr>
      </w:pPr>
      <w:r>
        <w:rPr>
          <w:rFonts w:ascii="Times New Roman" w:hAnsi="Times New Roman" w:eastAsia="黑体" w:cs="Times New Roman"/>
          <w:b/>
          <w:color w:val="000000" w:themeColor="text1"/>
          <w:sz w:val="44"/>
          <w:szCs w:val="24"/>
        </w:rPr>
        <w:t>国家级实验教学示范中心年度报告</w:t>
      </w:r>
    </w:p>
    <w:p>
      <w:pPr>
        <w:jc w:val="center"/>
        <w:rPr>
          <w:rFonts w:ascii="Times New Roman" w:hAnsi="Times New Roman" w:eastAsia="楷体_GB2312" w:cs="Times New Roman"/>
          <w:color w:val="000000" w:themeColor="text1"/>
          <w:sz w:val="28"/>
          <w:szCs w:val="24"/>
        </w:rPr>
      </w:pPr>
      <w:r>
        <w:rPr>
          <w:rFonts w:ascii="Times New Roman" w:hAnsi="Times New Roman" w:eastAsia="楷体_GB2312" w:cs="Times New Roman"/>
          <w:color w:val="000000" w:themeColor="text1"/>
          <w:sz w:val="28"/>
          <w:szCs w:val="24"/>
        </w:rPr>
        <w:t>（2018年1月——2018年12月）</w:t>
      </w:r>
    </w:p>
    <w:p>
      <w:pPr>
        <w:rPr>
          <w:rFonts w:ascii="Times New Roman" w:hAnsi="Times New Roman" w:eastAsia="楷体_GB2312" w:cs="Times New Roman"/>
          <w:color w:val="000000" w:themeColor="text1"/>
          <w:sz w:val="28"/>
          <w:szCs w:val="24"/>
        </w:rPr>
      </w:pPr>
    </w:p>
    <w:p>
      <w:pPr>
        <w:rPr>
          <w:rFonts w:ascii="Times New Roman" w:hAnsi="Times New Roman" w:eastAsia="楷体_GB2312" w:cs="Times New Roman"/>
          <w:color w:val="000000" w:themeColor="text1"/>
          <w:sz w:val="28"/>
          <w:szCs w:val="24"/>
        </w:rPr>
      </w:pPr>
    </w:p>
    <w:p>
      <w:pPr>
        <w:rPr>
          <w:rFonts w:ascii="Times New Roman" w:hAnsi="Times New Roman" w:eastAsia="楷体_GB2312" w:cs="Times New Roman"/>
          <w:b/>
          <w:color w:val="000000" w:themeColor="text1"/>
          <w:sz w:val="28"/>
          <w:szCs w:val="24"/>
        </w:rPr>
      </w:pPr>
    </w:p>
    <w:p>
      <w:pPr>
        <w:spacing w:before="120" w:after="120" w:line="440" w:lineRule="exact"/>
        <w:ind w:firstLine="880" w:firstLineChars="313"/>
        <w:rPr>
          <w:rFonts w:ascii="Times New Roman" w:hAnsi="Times New Roman" w:eastAsia="楷体_GB2312" w:cs="Times New Roman"/>
          <w:b/>
          <w:color w:val="000000" w:themeColor="text1"/>
          <w:sz w:val="28"/>
          <w:szCs w:val="24"/>
        </w:rPr>
      </w:pPr>
      <w:r>
        <w:rPr>
          <w:rFonts w:ascii="Times New Roman" w:hAnsi="Times New Roman" w:eastAsia="楷体_GB2312" w:cs="Times New Roman"/>
          <w:b/>
          <w:color w:val="000000" w:themeColor="text1"/>
          <w:sz w:val="28"/>
          <w:szCs w:val="24"/>
        </w:rPr>
        <w:t>实验教学中心名称：园艺实验教学示范中心</w:t>
      </w:r>
    </w:p>
    <w:p>
      <w:pPr>
        <w:spacing w:before="120" w:after="120" w:line="440" w:lineRule="exact"/>
        <w:ind w:firstLine="880" w:firstLineChars="313"/>
        <w:rPr>
          <w:rFonts w:ascii="Times New Roman" w:hAnsi="Times New Roman" w:eastAsia="楷体_GB2312" w:cs="Times New Roman"/>
          <w:b/>
          <w:color w:val="000000" w:themeColor="text1"/>
          <w:sz w:val="28"/>
          <w:szCs w:val="24"/>
        </w:rPr>
      </w:pPr>
      <w:r>
        <w:rPr>
          <w:rFonts w:ascii="Times New Roman" w:hAnsi="Times New Roman" w:eastAsia="楷体_GB2312" w:cs="Times New Roman"/>
          <w:b/>
          <w:color w:val="000000" w:themeColor="text1"/>
          <w:sz w:val="28"/>
          <w:szCs w:val="24"/>
        </w:rPr>
        <w:t>实验教学中心主任：邹志荣</w:t>
      </w:r>
    </w:p>
    <w:p>
      <w:pPr>
        <w:spacing w:before="120" w:after="120" w:line="440" w:lineRule="exact"/>
        <w:ind w:firstLine="880" w:firstLineChars="313"/>
        <w:rPr>
          <w:rFonts w:ascii="Times New Roman" w:hAnsi="Times New Roman" w:eastAsia="楷体_GB2312" w:cs="Times New Roman"/>
          <w:b/>
          <w:color w:val="000000" w:themeColor="text1"/>
          <w:sz w:val="28"/>
          <w:szCs w:val="24"/>
        </w:rPr>
      </w:pPr>
      <w:r>
        <w:rPr>
          <w:rFonts w:ascii="Times New Roman" w:hAnsi="Times New Roman" w:eastAsia="楷体_GB2312" w:cs="Times New Roman"/>
          <w:b/>
          <w:color w:val="000000" w:themeColor="text1"/>
          <w:sz w:val="28"/>
          <w:szCs w:val="24"/>
        </w:rPr>
        <w:t>实验教学中心联系人/联系电话：徐炎/13772103731</w:t>
      </w:r>
    </w:p>
    <w:p>
      <w:pPr>
        <w:spacing w:before="120" w:after="120" w:line="440" w:lineRule="exact"/>
        <w:ind w:firstLine="880" w:firstLineChars="313"/>
        <w:rPr>
          <w:rFonts w:ascii="Times New Roman" w:hAnsi="Times New Roman" w:eastAsia="楷体_GB2312" w:cs="Times New Roman"/>
          <w:b/>
          <w:color w:val="000000" w:themeColor="text1"/>
          <w:sz w:val="28"/>
          <w:szCs w:val="24"/>
        </w:rPr>
      </w:pPr>
      <w:r>
        <w:rPr>
          <w:rFonts w:ascii="Times New Roman" w:hAnsi="Times New Roman" w:eastAsia="楷体_GB2312" w:cs="Times New Roman"/>
          <w:b/>
          <w:color w:val="000000" w:themeColor="text1"/>
          <w:sz w:val="28"/>
          <w:szCs w:val="24"/>
        </w:rPr>
        <w:t>实验教学中心联系人电子邮箱：yan. xu@nwsuaf.edu.cn</w:t>
      </w:r>
    </w:p>
    <w:p>
      <w:pPr>
        <w:spacing w:before="120" w:after="120" w:line="440" w:lineRule="exact"/>
        <w:ind w:firstLine="880" w:firstLineChars="313"/>
        <w:rPr>
          <w:rFonts w:ascii="Times New Roman" w:hAnsi="Times New Roman" w:eastAsia="楷体_GB2312" w:cs="Times New Roman"/>
          <w:b/>
          <w:color w:val="000000" w:themeColor="text1"/>
          <w:sz w:val="28"/>
          <w:szCs w:val="24"/>
        </w:rPr>
      </w:pPr>
      <w:r>
        <w:rPr>
          <w:rFonts w:ascii="Times New Roman" w:hAnsi="Times New Roman" w:eastAsia="楷体_GB2312" w:cs="Times New Roman"/>
          <w:b/>
          <w:color w:val="000000" w:themeColor="text1"/>
          <w:sz w:val="28"/>
          <w:szCs w:val="24"/>
        </w:rPr>
        <w:t>所在学校名称：西北农林科技大学</w:t>
      </w:r>
    </w:p>
    <w:p>
      <w:pPr>
        <w:spacing w:before="120" w:after="120" w:line="440" w:lineRule="exact"/>
        <w:ind w:firstLine="880" w:firstLineChars="313"/>
        <w:rPr>
          <w:rFonts w:ascii="Times New Roman" w:hAnsi="Times New Roman" w:eastAsia="楷体_GB2312" w:cs="Times New Roman"/>
          <w:b/>
          <w:color w:val="000000" w:themeColor="text1"/>
          <w:sz w:val="28"/>
          <w:szCs w:val="24"/>
        </w:rPr>
      </w:pPr>
      <w:r>
        <w:rPr>
          <w:rFonts w:ascii="Times New Roman" w:hAnsi="Times New Roman" w:eastAsia="楷体_GB2312" w:cs="Times New Roman"/>
          <w:b/>
          <w:color w:val="000000" w:themeColor="text1"/>
          <w:sz w:val="28"/>
          <w:szCs w:val="24"/>
        </w:rPr>
        <w:t>所在学校联系人/联系电话：卢涛/02987092267</w:t>
      </w:r>
    </w:p>
    <w:p>
      <w:pPr>
        <w:spacing w:before="120" w:after="120" w:line="440" w:lineRule="exact"/>
        <w:rPr>
          <w:rFonts w:ascii="Times New Roman" w:hAnsi="Times New Roman" w:eastAsia="楷体_GB2312" w:cs="Times New Roman"/>
          <w:b/>
          <w:color w:val="000000" w:themeColor="text1"/>
          <w:sz w:val="28"/>
          <w:szCs w:val="24"/>
        </w:rPr>
      </w:pPr>
    </w:p>
    <w:p>
      <w:pPr>
        <w:jc w:val="center"/>
        <w:rPr>
          <w:rFonts w:ascii="Times New Roman" w:hAnsi="Times New Roman" w:eastAsia="楷体_GB2312" w:cs="Times New Roman"/>
          <w:color w:val="000000" w:themeColor="text1"/>
          <w:sz w:val="28"/>
          <w:szCs w:val="24"/>
        </w:rPr>
      </w:pPr>
    </w:p>
    <w:p>
      <w:pPr>
        <w:jc w:val="center"/>
        <w:rPr>
          <w:rFonts w:ascii="Times New Roman" w:hAnsi="Times New Roman" w:eastAsia="楷体_GB2312" w:cs="Times New Roman"/>
          <w:color w:val="000000" w:themeColor="text1"/>
          <w:sz w:val="28"/>
          <w:szCs w:val="24"/>
        </w:rPr>
      </w:pPr>
    </w:p>
    <w:p>
      <w:pPr>
        <w:jc w:val="center"/>
        <w:rPr>
          <w:rFonts w:ascii="Times New Roman" w:hAnsi="Times New Roman" w:eastAsia="楷体_GB2312" w:cs="Times New Roman"/>
          <w:color w:val="000000" w:themeColor="text1"/>
          <w:sz w:val="28"/>
          <w:szCs w:val="24"/>
        </w:rPr>
      </w:pPr>
      <w:r>
        <w:rPr>
          <w:rFonts w:ascii="Times New Roman" w:hAnsi="Times New Roman" w:eastAsia="楷体_GB2312" w:cs="Times New Roman"/>
          <w:color w:val="000000" w:themeColor="text1"/>
          <w:sz w:val="28"/>
          <w:szCs w:val="24"/>
        </w:rPr>
        <w:t>2019年1月8日填报</w:t>
      </w:r>
    </w:p>
    <w:p>
      <w:pPr>
        <w:rPr>
          <w:rFonts w:ascii="Times New Roman" w:hAnsi="Times New Roman" w:cs="Times New Roman"/>
          <w:color w:val="000000" w:themeColor="text1"/>
        </w:rPr>
      </w:pPr>
    </w:p>
    <w:p>
      <w:pPr>
        <w:widowControl/>
        <w:jc w:val="left"/>
        <w:rPr>
          <w:rFonts w:ascii="Times New Roman" w:hAnsi="Times New Roman" w:eastAsia="黑体" w:cs="Times New Roman"/>
          <w:bCs/>
          <w:color w:val="000000" w:themeColor="text1"/>
          <w:kern w:val="44"/>
          <w:sz w:val="40"/>
          <w:szCs w:val="44"/>
        </w:rPr>
      </w:pPr>
      <w:r>
        <w:rPr>
          <w:rFonts w:ascii="Times New Roman" w:hAnsi="Times New Roman" w:eastAsia="黑体" w:cs="Times New Roman"/>
          <w:bCs/>
          <w:color w:val="000000" w:themeColor="text1"/>
          <w:kern w:val="44"/>
          <w:sz w:val="40"/>
          <w:szCs w:val="44"/>
        </w:rPr>
        <w:br w:type="page"/>
      </w:r>
    </w:p>
    <w:p>
      <w:pPr>
        <w:widowControl/>
        <w:spacing w:before="312" w:beforeLines="100" w:after="312" w:afterLines="100"/>
        <w:jc w:val="center"/>
        <w:rPr>
          <w:rFonts w:ascii="Times New Roman" w:hAnsi="Times New Roman" w:eastAsia="黑体" w:cs="Times New Roman"/>
          <w:bCs/>
          <w:color w:val="000000" w:themeColor="text1"/>
          <w:kern w:val="44"/>
          <w:sz w:val="40"/>
          <w:szCs w:val="40"/>
        </w:rPr>
      </w:pPr>
      <w:r>
        <w:rPr>
          <w:rFonts w:ascii="Times New Roman" w:hAnsi="Times New Roman" w:eastAsia="黑体" w:cs="Times New Roman"/>
          <w:bCs/>
          <w:color w:val="000000" w:themeColor="text1"/>
          <w:kern w:val="44"/>
          <w:sz w:val="40"/>
          <w:szCs w:val="40"/>
        </w:rPr>
        <w:t>目录</w:t>
      </w:r>
    </w:p>
    <w:p>
      <w:pPr>
        <w:pStyle w:val="15"/>
        <w:spacing w:before="0" w:after="0" w:line="500" w:lineRule="exact"/>
        <w:rPr>
          <w:rFonts w:ascii="Times New Roman" w:hAnsi="Times New Roman" w:eastAsia="仿宋_GB2312" w:cs="Times New Roman"/>
          <w:b w:val="0"/>
          <w:bCs w:val="0"/>
          <w:caps w:val="0"/>
          <w:sz w:val="28"/>
          <w:szCs w:val="28"/>
        </w:rPr>
      </w:pPr>
      <w:r>
        <w:rPr>
          <w:rFonts w:ascii="Times New Roman" w:hAnsi="Times New Roman" w:eastAsia="仿宋_GB2312" w:cs="Times New Roman"/>
          <w:b w:val="0"/>
          <w:color w:val="000000" w:themeColor="text1"/>
          <w:kern w:val="44"/>
          <w:sz w:val="28"/>
          <w:szCs w:val="28"/>
        </w:rPr>
        <w:fldChar w:fldCharType="begin"/>
      </w:r>
      <w:r>
        <w:rPr>
          <w:rFonts w:ascii="Times New Roman" w:hAnsi="Times New Roman" w:eastAsia="仿宋_GB2312" w:cs="Times New Roman"/>
          <w:b w:val="0"/>
          <w:color w:val="000000" w:themeColor="text1"/>
          <w:kern w:val="44"/>
          <w:sz w:val="28"/>
          <w:szCs w:val="28"/>
        </w:rPr>
        <w:instrText xml:space="preserve"> TOC \o "1-3" \h \z </w:instrText>
      </w:r>
      <w:r>
        <w:rPr>
          <w:rFonts w:ascii="Times New Roman" w:hAnsi="Times New Roman" w:eastAsia="仿宋_GB2312" w:cs="Times New Roman"/>
          <w:b w:val="0"/>
          <w:color w:val="000000" w:themeColor="text1"/>
          <w:kern w:val="44"/>
          <w:sz w:val="28"/>
          <w:szCs w:val="28"/>
        </w:rPr>
        <w:fldChar w:fldCharType="separate"/>
      </w:r>
      <w:r>
        <w:fldChar w:fldCharType="begin"/>
      </w:r>
      <w:r>
        <w:instrText xml:space="preserve"> HYPERLINK \l "_Toc535227401" </w:instrText>
      </w:r>
      <w:r>
        <w:fldChar w:fldCharType="separate"/>
      </w:r>
      <w:r>
        <w:rPr>
          <w:rStyle w:val="26"/>
          <w:rFonts w:ascii="Times New Roman" w:hAnsi="Times New Roman" w:cs="Times New Roman"/>
          <w:b w:val="0"/>
          <w:sz w:val="28"/>
          <w:szCs w:val="28"/>
        </w:rPr>
        <w:t>第一部分 2018年度报告</w:t>
      </w:r>
      <w:r>
        <w:rPr>
          <w:rFonts w:ascii="Times New Roman" w:hAnsi="Times New Roman" w:eastAsia="仿宋_GB2312" w:cs="Times New Roman"/>
          <w:b w:val="0"/>
          <w:sz w:val="28"/>
          <w:szCs w:val="28"/>
        </w:rPr>
        <w:tab/>
      </w:r>
      <w:r>
        <w:rPr>
          <w:rFonts w:ascii="Times New Roman" w:hAnsi="Times New Roman" w:eastAsia="仿宋_GB2312" w:cs="Times New Roman"/>
          <w:b w:val="0"/>
          <w:sz w:val="28"/>
          <w:szCs w:val="28"/>
        </w:rPr>
        <w:fldChar w:fldCharType="begin"/>
      </w:r>
      <w:r>
        <w:rPr>
          <w:rFonts w:ascii="Times New Roman" w:hAnsi="Times New Roman" w:eastAsia="仿宋_GB2312" w:cs="Times New Roman"/>
          <w:b w:val="0"/>
          <w:sz w:val="28"/>
          <w:szCs w:val="28"/>
        </w:rPr>
        <w:instrText xml:space="preserve"> PAGEREF _Toc535227401 \h </w:instrText>
      </w:r>
      <w:r>
        <w:rPr>
          <w:rFonts w:ascii="Times New Roman" w:hAnsi="Times New Roman" w:eastAsia="仿宋_GB2312" w:cs="Times New Roman"/>
          <w:b w:val="0"/>
          <w:sz w:val="28"/>
          <w:szCs w:val="28"/>
        </w:rPr>
        <w:fldChar w:fldCharType="separate"/>
      </w:r>
      <w:r>
        <w:rPr>
          <w:rFonts w:ascii="Times New Roman" w:hAnsi="Times New Roman" w:eastAsia="仿宋_GB2312" w:cs="Times New Roman"/>
          <w:b w:val="0"/>
          <w:sz w:val="28"/>
          <w:szCs w:val="28"/>
        </w:rPr>
        <w:t>1</w:t>
      </w:r>
      <w:r>
        <w:rPr>
          <w:rFonts w:ascii="Times New Roman" w:hAnsi="Times New Roman" w:eastAsia="仿宋_GB2312" w:cs="Times New Roman"/>
          <w:b w:val="0"/>
          <w:sz w:val="28"/>
          <w:szCs w:val="28"/>
        </w:rPr>
        <w:fldChar w:fldCharType="end"/>
      </w:r>
      <w:r>
        <w:rPr>
          <w:rFonts w:ascii="Times New Roman" w:hAnsi="Times New Roman" w:eastAsia="仿宋_GB2312" w:cs="Times New Roman"/>
          <w:b w:val="0"/>
          <w:sz w:val="28"/>
          <w:szCs w:val="28"/>
        </w:rPr>
        <w:fldChar w:fldCharType="end"/>
      </w:r>
    </w:p>
    <w:p>
      <w:pPr>
        <w:pStyle w:val="19"/>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"_Toc535227402" </w:instrText>
      </w:r>
      <w:r>
        <w:fldChar w:fldCharType="separate"/>
      </w:r>
      <w:r>
        <w:rPr>
          <w:rStyle w:val="26"/>
          <w:rFonts w:ascii="Times New Roman" w:hAnsi="Times New Roman" w:eastAsia="仿宋_GB2312" w:cs="Times New Roman"/>
          <w:sz w:val="28"/>
          <w:szCs w:val="28"/>
        </w:rPr>
        <w:t>一、人才培养工作和成效</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_Toc535227402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720"/>
        </w:tabs>
        <w:spacing w:line="500" w:lineRule="exact"/>
        <w:ind w:firstLine="340" w:firstLineChars="170"/>
        <w:rPr>
          <w:rFonts w:ascii="Times New Roman" w:hAnsi="Times New Roman" w:eastAsia="仿宋_GB2312" w:cs="Times New Roman"/>
          <w:i w:val="0"/>
          <w:iCs w:val="0"/>
          <w:sz w:val="28"/>
          <w:szCs w:val="28"/>
        </w:rPr>
      </w:pPr>
      <w:r>
        <w:fldChar w:fldCharType="begin"/>
      </w:r>
      <w:r>
        <w:instrText xml:space="preserve"> HYPERLINK \l "_Toc535227403" </w:instrText>
      </w:r>
      <w:r>
        <w:fldChar w:fldCharType="separate"/>
      </w:r>
      <w:r>
        <w:rPr>
          <w:rStyle w:val="26"/>
          <w:rFonts w:ascii="Times New Roman" w:hAnsi="Times New Roman" w:eastAsia="仿宋_GB2312" w:cs="Times New Roman"/>
          <w:i w:val="0"/>
          <w:sz w:val="28"/>
          <w:szCs w:val="28"/>
        </w:rPr>
        <w:t>（一）人才培养基本情况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_Toc535227403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1</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9"/>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"_Toc535227404" </w:instrText>
      </w:r>
      <w:r>
        <w:fldChar w:fldCharType="separate"/>
      </w:r>
      <w:r>
        <w:rPr>
          <w:rStyle w:val="26"/>
          <w:rFonts w:ascii="Times New Roman" w:hAnsi="Times New Roman" w:eastAsia="仿宋_GB2312" w:cs="Times New Roman"/>
          <w:sz w:val="28"/>
          <w:szCs w:val="28"/>
        </w:rPr>
        <w:t>二、教学改革与科学研究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_Toc535227404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720"/>
        </w:tabs>
        <w:spacing w:line="500" w:lineRule="exact"/>
        <w:ind w:firstLine="340" w:firstLineChars="170"/>
        <w:rPr>
          <w:rFonts w:ascii="Times New Roman" w:hAnsi="Times New Roman" w:eastAsia="仿宋_GB2312" w:cs="Times New Roman"/>
          <w:i w:val="0"/>
          <w:iCs w:val="0"/>
          <w:sz w:val="28"/>
          <w:szCs w:val="28"/>
        </w:rPr>
      </w:pPr>
      <w:r>
        <w:fldChar w:fldCharType="begin"/>
      </w:r>
      <w:r>
        <w:instrText xml:space="preserve"> HYPERLINK \l "_Toc535227405" </w:instrText>
      </w:r>
      <w:r>
        <w:fldChar w:fldCharType="separate"/>
      </w:r>
      <w:r>
        <w:rPr>
          <w:rStyle w:val="26"/>
          <w:rFonts w:ascii="Times New Roman" w:hAnsi="Times New Roman" w:eastAsia="仿宋_GB2312" w:cs="Times New Roman"/>
          <w:i w:val="0"/>
          <w:sz w:val="28"/>
          <w:szCs w:val="28"/>
        </w:rPr>
        <w:t>（一）教学改革</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_Toc535227405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3</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9"/>
        <w:tabs>
          <w:tab w:val="right" w:leader="dot" w:pos="8720"/>
        </w:tabs>
        <w:spacing w:line="500" w:lineRule="exact"/>
        <w:ind w:firstLine="340" w:firstLineChars="170"/>
        <w:rPr>
          <w:rFonts w:ascii="Times New Roman" w:hAnsi="Times New Roman" w:eastAsia="仿宋_GB2312" w:cs="Times New Roman"/>
          <w:i w:val="0"/>
          <w:iCs w:val="0"/>
          <w:sz w:val="28"/>
          <w:szCs w:val="28"/>
        </w:rPr>
      </w:pPr>
      <w:r>
        <w:fldChar w:fldCharType="begin"/>
      </w:r>
      <w:r>
        <w:instrText xml:space="preserve"> HYPERLINK \l "_Toc535227407" </w:instrText>
      </w:r>
      <w:r>
        <w:fldChar w:fldCharType="separate"/>
      </w:r>
      <w:r>
        <w:rPr>
          <w:rStyle w:val="26"/>
          <w:rFonts w:ascii="Times New Roman" w:hAnsi="Times New Roman" w:eastAsia="仿宋_GB2312" w:cs="Times New Roman"/>
          <w:i w:val="0"/>
          <w:sz w:val="28"/>
          <w:szCs w:val="28"/>
        </w:rPr>
        <w:t>（二）科学研究等情况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_Toc535227407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5</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9"/>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"_Toc535227408" </w:instrText>
      </w:r>
      <w:r>
        <w:fldChar w:fldCharType="separate"/>
      </w:r>
      <w:r>
        <w:rPr>
          <w:rStyle w:val="26"/>
          <w:rFonts w:ascii="Times New Roman" w:hAnsi="Times New Roman" w:eastAsia="仿宋_GB2312" w:cs="Times New Roman"/>
          <w:sz w:val="28"/>
          <w:szCs w:val="28"/>
        </w:rPr>
        <w:t>三、人才队伍建设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_Toc535227408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720"/>
        </w:tabs>
        <w:spacing w:line="500" w:lineRule="exact"/>
        <w:ind w:firstLine="340" w:firstLineChars="170"/>
        <w:rPr>
          <w:rFonts w:ascii="Times New Roman" w:hAnsi="Times New Roman" w:eastAsia="仿宋_GB2312" w:cs="Times New Roman"/>
          <w:i w:val="0"/>
          <w:iCs w:val="0"/>
          <w:sz w:val="28"/>
          <w:szCs w:val="28"/>
        </w:rPr>
      </w:pPr>
      <w:r>
        <w:fldChar w:fldCharType="begin"/>
      </w:r>
      <w:r>
        <w:instrText xml:space="preserve"> HYPERLINK \l "_Toc535227409" </w:instrText>
      </w:r>
      <w:r>
        <w:fldChar w:fldCharType="separate"/>
      </w:r>
      <w:r>
        <w:rPr>
          <w:rStyle w:val="26"/>
          <w:rFonts w:ascii="Times New Roman" w:hAnsi="Times New Roman" w:eastAsia="仿宋_GB2312" w:cs="Times New Roman"/>
          <w:i w:val="0"/>
          <w:sz w:val="28"/>
          <w:szCs w:val="28"/>
        </w:rPr>
        <w:t>（一）队伍建设基本情况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_Toc535227409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9"/>
        <w:tabs>
          <w:tab w:val="right" w:leader="dot" w:pos="8720"/>
        </w:tabs>
        <w:spacing w:line="500" w:lineRule="exact"/>
        <w:ind w:firstLine="340" w:firstLineChars="170"/>
        <w:rPr>
          <w:rFonts w:ascii="Times New Roman" w:hAnsi="Times New Roman" w:eastAsia="仿宋_GB2312" w:cs="Times New Roman"/>
          <w:i w:val="0"/>
          <w:iCs w:val="0"/>
          <w:sz w:val="28"/>
          <w:szCs w:val="28"/>
        </w:rPr>
      </w:pPr>
      <w:r>
        <w:fldChar w:fldCharType="begin"/>
      </w:r>
      <w:r>
        <w:instrText xml:space="preserve"> HYPERLINK \l "_Toc535227410" </w:instrText>
      </w:r>
      <w:r>
        <w:fldChar w:fldCharType="separate"/>
      </w:r>
      <w:r>
        <w:rPr>
          <w:rStyle w:val="26"/>
          <w:rFonts w:ascii="Times New Roman" w:hAnsi="Times New Roman" w:eastAsia="仿宋_GB2312" w:cs="Times New Roman"/>
          <w:i w:val="0"/>
          <w:sz w:val="28"/>
          <w:szCs w:val="28"/>
        </w:rPr>
        <w:t>（二）队伍建设的举措与取得的成绩等</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_Toc535227410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7</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9"/>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"_Toc535227411" </w:instrText>
      </w:r>
      <w:r>
        <w:fldChar w:fldCharType="separate"/>
      </w:r>
      <w:r>
        <w:rPr>
          <w:rStyle w:val="26"/>
          <w:rFonts w:ascii="Times New Roman" w:hAnsi="Times New Roman" w:eastAsia="仿宋_GB2312" w:cs="Times New Roman"/>
          <w:sz w:val="28"/>
          <w:szCs w:val="28"/>
        </w:rPr>
        <w:t>四、信息化建设、开放运行和示范辐射</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_Toc535227411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8720"/>
        </w:tabs>
        <w:spacing w:line="500" w:lineRule="exact"/>
        <w:ind w:firstLine="340" w:firstLineChars="170"/>
        <w:rPr>
          <w:rFonts w:ascii="Times New Roman" w:hAnsi="Times New Roman" w:eastAsia="仿宋_GB2312" w:cs="Times New Roman"/>
          <w:i w:val="0"/>
          <w:iCs w:val="0"/>
          <w:sz w:val="28"/>
          <w:szCs w:val="28"/>
        </w:rPr>
      </w:pPr>
      <w:r>
        <w:fldChar w:fldCharType="begin"/>
      </w:r>
      <w:r>
        <w:instrText xml:space="preserve"> HYPERLINK \l "_Toc535227412" </w:instrText>
      </w:r>
      <w:r>
        <w:fldChar w:fldCharType="separate"/>
      </w:r>
      <w:r>
        <w:rPr>
          <w:rStyle w:val="26"/>
          <w:rFonts w:ascii="Times New Roman" w:hAnsi="Times New Roman" w:eastAsia="仿宋_GB2312" w:cs="Times New Roman"/>
          <w:i w:val="0"/>
          <w:sz w:val="28"/>
          <w:szCs w:val="28"/>
        </w:rPr>
        <w:t>（一）</w:t>
      </w:r>
      <w:r>
        <w:rPr>
          <w:rStyle w:val="26"/>
          <w:rFonts w:ascii="Times New Roman" w:hAnsi="Times New Roman" w:eastAsia="仿宋_GB2312" w:cs="Times New Roman"/>
          <w:i w:val="0"/>
          <w:w w:val="90"/>
          <w:sz w:val="28"/>
          <w:szCs w:val="28"/>
        </w:rPr>
        <w:t>信息化资源、平台建设，人员信息化能力提升等情况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_Toc535227412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7</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9"/>
        <w:tabs>
          <w:tab w:val="right" w:leader="dot" w:pos="8720"/>
        </w:tabs>
        <w:spacing w:line="500" w:lineRule="exact"/>
        <w:ind w:firstLine="340" w:firstLineChars="170"/>
        <w:rPr>
          <w:rFonts w:ascii="Times New Roman" w:hAnsi="Times New Roman" w:eastAsia="仿宋_GB2312" w:cs="Times New Roman"/>
          <w:i w:val="0"/>
          <w:iCs w:val="0"/>
          <w:sz w:val="28"/>
          <w:szCs w:val="28"/>
        </w:rPr>
      </w:pPr>
      <w:r>
        <w:fldChar w:fldCharType="begin"/>
      </w:r>
      <w:r>
        <w:instrText xml:space="preserve"> HYPERLINK \l "_Toc535227413" </w:instrText>
      </w:r>
      <w:r>
        <w:fldChar w:fldCharType="separate"/>
      </w:r>
      <w:r>
        <w:rPr>
          <w:rStyle w:val="26"/>
          <w:rFonts w:ascii="Times New Roman" w:hAnsi="Times New Roman" w:eastAsia="仿宋_GB2312" w:cs="Times New Roman"/>
          <w:i w:val="0"/>
          <w:sz w:val="28"/>
          <w:szCs w:val="28"/>
        </w:rPr>
        <w:t>（二）开放运行、安全运行等情况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_Toc535227413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11</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9"/>
        <w:spacing w:line="500" w:lineRule="exact"/>
        <w:ind w:left="692" w:leftChars="139" w:hanging="400" w:hangingChars="200"/>
        <w:rPr>
          <w:rStyle w:val="26"/>
          <w:rFonts w:ascii="Times New Roman" w:hAnsi="Times New Roman" w:cs="Times New Roman"/>
          <w:sz w:val="28"/>
          <w:szCs w:val="28"/>
        </w:rPr>
      </w:pPr>
      <w:r>
        <w:fldChar w:fldCharType="begin"/>
      </w:r>
      <w:r>
        <w:instrText xml:space="preserve"> HYPERLINK \l "_Toc535227414" </w:instrText>
      </w:r>
      <w:r>
        <w:fldChar w:fldCharType="separate"/>
      </w:r>
      <w:r>
        <w:rPr>
          <w:rStyle w:val="26"/>
          <w:rFonts w:ascii="Times New Roman" w:hAnsi="Times New Roman" w:eastAsia="仿宋_GB2312" w:cs="Times New Roman"/>
          <w:sz w:val="28"/>
          <w:szCs w:val="28"/>
        </w:rPr>
        <w:t>五、示范中心大事记（对外交流合作、发挥示范引领、支持中西部高校实验教学改革等情况）</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_Toc535227414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16</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19"/>
        <w:spacing w:line="500" w:lineRule="exact"/>
        <w:ind w:firstLine="78"/>
        <w:rPr>
          <w:rStyle w:val="26"/>
          <w:rFonts w:ascii="Times New Roman" w:hAnsi="Times New Roman" w:eastAsia="仿宋_GB2312" w:cs="Times New Roman"/>
          <w:sz w:val="28"/>
          <w:szCs w:val="28"/>
        </w:rPr>
      </w:pPr>
      <w:r>
        <w:fldChar w:fldCharType="begin"/>
      </w:r>
      <w:r>
        <w:instrText xml:space="preserve"> HYPERLINK \l "_Toc535227417" </w:instrText>
      </w:r>
      <w:r>
        <w:fldChar w:fldCharType="separate"/>
      </w:r>
      <w:r>
        <w:rPr>
          <w:rStyle w:val="26"/>
          <w:rFonts w:ascii="Times New Roman" w:hAnsi="Times New Roman" w:eastAsia="仿宋_GB2312" w:cs="Times New Roman"/>
          <w:sz w:val="28"/>
          <w:szCs w:val="28"/>
        </w:rPr>
        <w:t>六、示范中心存在的主要问题</w:t>
      </w:r>
      <w:r>
        <w:rPr>
          <w:rStyle w:val="26"/>
          <w:rFonts w:ascii="Times New Roman" w:hAnsi="Times New Roman" w:eastAsia="仿宋_GB2312" w:cs="Times New Roman"/>
          <w:sz w:val="28"/>
          <w:szCs w:val="28"/>
        </w:rPr>
        <w:tab/>
      </w:r>
      <w:r>
        <w:rPr>
          <w:rStyle w:val="26"/>
          <w:rFonts w:ascii="Times New Roman" w:hAnsi="Times New Roman" w:eastAsia="仿宋_GB2312" w:cs="Times New Roman"/>
          <w:sz w:val="28"/>
          <w:szCs w:val="28"/>
        </w:rPr>
        <w:fldChar w:fldCharType="begin"/>
      </w:r>
      <w:r>
        <w:rPr>
          <w:rStyle w:val="26"/>
          <w:rFonts w:ascii="Times New Roman" w:hAnsi="Times New Roman" w:eastAsia="仿宋_GB2312" w:cs="Times New Roman"/>
          <w:sz w:val="28"/>
          <w:szCs w:val="28"/>
        </w:rPr>
        <w:instrText xml:space="preserve"> PAGEREF _Toc535227417 \h </w:instrText>
      </w:r>
      <w:r>
        <w:rPr>
          <w:rStyle w:val="26"/>
          <w:rFonts w:ascii="Times New Roman" w:hAnsi="Times New Roman" w:eastAsia="仿宋_GB2312" w:cs="Times New Roman"/>
          <w:sz w:val="28"/>
          <w:szCs w:val="28"/>
        </w:rPr>
        <w:fldChar w:fldCharType="separate"/>
      </w:r>
      <w:r>
        <w:rPr>
          <w:rStyle w:val="26"/>
          <w:rFonts w:ascii="Times New Roman" w:hAnsi="Times New Roman" w:eastAsia="仿宋_GB2312" w:cs="Times New Roman"/>
          <w:sz w:val="28"/>
          <w:szCs w:val="28"/>
        </w:rPr>
        <w:t>33</w:t>
      </w:r>
      <w:r>
        <w:rPr>
          <w:rStyle w:val="26"/>
          <w:rFonts w:ascii="Times New Roman" w:hAnsi="Times New Roman" w:eastAsia="仿宋_GB2312" w:cs="Times New Roman"/>
          <w:sz w:val="28"/>
          <w:szCs w:val="28"/>
        </w:rPr>
        <w:fldChar w:fldCharType="end"/>
      </w:r>
      <w:r>
        <w:rPr>
          <w:rStyle w:val="26"/>
          <w:rFonts w:ascii="Times New Roman" w:hAnsi="Times New Roman" w:eastAsia="仿宋_GB2312" w:cs="Times New Roman"/>
          <w:sz w:val="28"/>
          <w:szCs w:val="28"/>
        </w:rPr>
        <w:fldChar w:fldCharType="end"/>
      </w:r>
    </w:p>
    <w:p>
      <w:pPr>
        <w:pStyle w:val="19"/>
        <w:spacing w:line="500" w:lineRule="exact"/>
        <w:ind w:firstLine="78"/>
        <w:rPr>
          <w:rStyle w:val="26"/>
          <w:rFonts w:ascii="Times New Roman" w:hAnsi="Times New Roman" w:eastAsia="仿宋_GB2312" w:cs="Times New Roman"/>
          <w:sz w:val="28"/>
          <w:szCs w:val="28"/>
        </w:rPr>
      </w:pPr>
      <w:r>
        <w:fldChar w:fldCharType="begin"/>
      </w:r>
      <w:r>
        <w:instrText xml:space="preserve"> HYPERLINK \l "_Toc535227418" </w:instrText>
      </w:r>
      <w:r>
        <w:fldChar w:fldCharType="separate"/>
      </w:r>
      <w:r>
        <w:rPr>
          <w:rStyle w:val="26"/>
          <w:rFonts w:ascii="Times New Roman" w:hAnsi="Times New Roman" w:eastAsia="仿宋_GB2312" w:cs="Times New Roman"/>
          <w:sz w:val="28"/>
          <w:szCs w:val="28"/>
        </w:rPr>
        <w:t>七、所在学校与学校上级主管部门的支持</w:t>
      </w:r>
      <w:r>
        <w:rPr>
          <w:rStyle w:val="26"/>
          <w:rFonts w:ascii="Times New Roman" w:hAnsi="Times New Roman" w:eastAsia="仿宋_GB2312" w:cs="Times New Roman"/>
          <w:sz w:val="28"/>
          <w:szCs w:val="28"/>
        </w:rPr>
        <w:tab/>
      </w:r>
      <w:r>
        <w:rPr>
          <w:rStyle w:val="26"/>
          <w:rFonts w:ascii="Times New Roman" w:hAnsi="Times New Roman" w:eastAsia="仿宋_GB2312" w:cs="Times New Roman"/>
          <w:sz w:val="28"/>
          <w:szCs w:val="28"/>
        </w:rPr>
        <w:fldChar w:fldCharType="begin"/>
      </w:r>
      <w:r>
        <w:rPr>
          <w:rStyle w:val="26"/>
          <w:rFonts w:ascii="Times New Roman" w:hAnsi="Times New Roman" w:eastAsia="仿宋_GB2312" w:cs="Times New Roman"/>
          <w:sz w:val="28"/>
          <w:szCs w:val="28"/>
        </w:rPr>
        <w:instrText xml:space="preserve"> PAGEREF _Toc535227418 \h </w:instrText>
      </w:r>
      <w:r>
        <w:rPr>
          <w:rStyle w:val="26"/>
          <w:rFonts w:ascii="Times New Roman" w:hAnsi="Times New Roman" w:eastAsia="仿宋_GB2312" w:cs="Times New Roman"/>
          <w:sz w:val="28"/>
          <w:szCs w:val="28"/>
        </w:rPr>
        <w:fldChar w:fldCharType="separate"/>
      </w:r>
      <w:r>
        <w:rPr>
          <w:rStyle w:val="26"/>
          <w:rFonts w:ascii="Times New Roman" w:hAnsi="Times New Roman" w:eastAsia="仿宋_GB2312" w:cs="Times New Roman"/>
          <w:sz w:val="28"/>
          <w:szCs w:val="28"/>
        </w:rPr>
        <w:t>33</w:t>
      </w:r>
      <w:r>
        <w:rPr>
          <w:rStyle w:val="26"/>
          <w:rFonts w:ascii="Times New Roman" w:hAnsi="Times New Roman" w:eastAsia="仿宋_GB2312" w:cs="Times New Roman"/>
          <w:sz w:val="28"/>
          <w:szCs w:val="28"/>
        </w:rPr>
        <w:fldChar w:fldCharType="end"/>
      </w:r>
      <w:r>
        <w:rPr>
          <w:rStyle w:val="26"/>
          <w:rFonts w:ascii="Times New Roman" w:hAnsi="Times New Roman" w:eastAsia="仿宋_GB2312" w:cs="Times New Roman"/>
          <w:sz w:val="28"/>
          <w:szCs w:val="28"/>
        </w:rPr>
        <w:fldChar w:fldCharType="end"/>
      </w:r>
    </w:p>
    <w:p>
      <w:pPr>
        <w:pStyle w:val="19"/>
        <w:spacing w:line="500" w:lineRule="exact"/>
        <w:ind w:firstLine="78"/>
        <w:rPr>
          <w:rStyle w:val="26"/>
          <w:rFonts w:ascii="Times New Roman" w:hAnsi="Times New Roman" w:eastAsia="仿宋_GB2312" w:cs="Times New Roman"/>
          <w:sz w:val="28"/>
          <w:szCs w:val="28"/>
        </w:rPr>
      </w:pPr>
      <w:r>
        <w:fldChar w:fldCharType="begin"/>
      </w:r>
      <w:r>
        <w:instrText xml:space="preserve"> HYPERLINK \l "_Toc535227419" </w:instrText>
      </w:r>
      <w:r>
        <w:fldChar w:fldCharType="separate"/>
      </w:r>
      <w:r>
        <w:rPr>
          <w:rStyle w:val="26"/>
          <w:rFonts w:ascii="Times New Roman" w:hAnsi="Times New Roman" w:eastAsia="仿宋_GB2312" w:cs="Times New Roman"/>
          <w:sz w:val="28"/>
          <w:szCs w:val="28"/>
        </w:rPr>
        <w:t>下一年发展思路</w:t>
      </w:r>
      <w:r>
        <w:rPr>
          <w:rStyle w:val="26"/>
          <w:rFonts w:ascii="Times New Roman" w:hAnsi="Times New Roman" w:eastAsia="仿宋_GB2312" w:cs="Times New Roman"/>
          <w:sz w:val="28"/>
          <w:szCs w:val="28"/>
        </w:rPr>
        <w:tab/>
      </w:r>
      <w:r>
        <w:rPr>
          <w:rStyle w:val="26"/>
          <w:rFonts w:ascii="Times New Roman" w:hAnsi="Times New Roman" w:eastAsia="仿宋_GB2312" w:cs="Times New Roman"/>
          <w:sz w:val="28"/>
          <w:szCs w:val="28"/>
        </w:rPr>
        <w:fldChar w:fldCharType="begin"/>
      </w:r>
      <w:r>
        <w:rPr>
          <w:rStyle w:val="26"/>
          <w:rFonts w:ascii="Times New Roman" w:hAnsi="Times New Roman" w:eastAsia="仿宋_GB2312" w:cs="Times New Roman"/>
          <w:sz w:val="28"/>
          <w:szCs w:val="28"/>
        </w:rPr>
        <w:instrText xml:space="preserve"> PAGEREF _Toc535227419 \h </w:instrText>
      </w:r>
      <w:r>
        <w:rPr>
          <w:rStyle w:val="26"/>
          <w:rFonts w:ascii="Times New Roman" w:hAnsi="Times New Roman" w:eastAsia="仿宋_GB2312" w:cs="Times New Roman"/>
          <w:sz w:val="28"/>
          <w:szCs w:val="28"/>
        </w:rPr>
        <w:fldChar w:fldCharType="separate"/>
      </w:r>
      <w:r>
        <w:rPr>
          <w:rStyle w:val="26"/>
          <w:rFonts w:ascii="Times New Roman" w:hAnsi="Times New Roman" w:eastAsia="仿宋_GB2312" w:cs="Times New Roman"/>
          <w:sz w:val="28"/>
          <w:szCs w:val="28"/>
        </w:rPr>
        <w:t>33</w:t>
      </w:r>
      <w:r>
        <w:rPr>
          <w:rStyle w:val="26"/>
          <w:rFonts w:ascii="Times New Roman" w:hAnsi="Times New Roman" w:eastAsia="仿宋_GB2312" w:cs="Times New Roman"/>
          <w:sz w:val="28"/>
          <w:szCs w:val="28"/>
        </w:rPr>
        <w:fldChar w:fldCharType="end"/>
      </w:r>
      <w:r>
        <w:rPr>
          <w:rStyle w:val="26"/>
          <w:rFonts w:ascii="Times New Roman" w:hAnsi="Times New Roman" w:eastAsia="仿宋_GB2312" w:cs="Times New Roman"/>
          <w:sz w:val="28"/>
          <w:szCs w:val="28"/>
        </w:rPr>
        <w:fldChar w:fldCharType="end"/>
      </w:r>
    </w:p>
    <w:p>
      <w:pPr>
        <w:pStyle w:val="19"/>
        <w:spacing w:line="500" w:lineRule="exact"/>
        <w:ind w:firstLine="78"/>
        <w:rPr>
          <w:rStyle w:val="26"/>
          <w:rFonts w:ascii="Times New Roman" w:hAnsi="Times New Roman" w:eastAsia="仿宋_GB2312" w:cs="Times New Roman"/>
          <w:sz w:val="28"/>
          <w:szCs w:val="28"/>
        </w:rPr>
      </w:pPr>
      <w:r>
        <w:fldChar w:fldCharType="begin"/>
      </w:r>
      <w:r>
        <w:instrText xml:space="preserve"> HYPERLINK \l "_Toc535227420" </w:instrText>
      </w:r>
      <w:r>
        <w:fldChar w:fldCharType="separate"/>
      </w:r>
      <w:r>
        <w:rPr>
          <w:rStyle w:val="26"/>
          <w:rFonts w:ascii="Times New Roman" w:hAnsi="Times New Roman" w:eastAsia="仿宋_GB2312" w:cs="Times New Roman"/>
          <w:sz w:val="28"/>
          <w:szCs w:val="28"/>
        </w:rPr>
        <w:t>注意事项及说明</w:t>
      </w:r>
      <w:r>
        <w:rPr>
          <w:rStyle w:val="26"/>
          <w:rFonts w:ascii="Times New Roman" w:hAnsi="Times New Roman" w:eastAsia="仿宋_GB2312" w:cs="Times New Roman"/>
          <w:sz w:val="28"/>
          <w:szCs w:val="28"/>
        </w:rPr>
        <w:tab/>
      </w:r>
      <w:r>
        <w:rPr>
          <w:rStyle w:val="26"/>
          <w:rFonts w:ascii="Times New Roman" w:hAnsi="Times New Roman" w:eastAsia="仿宋_GB2312" w:cs="Times New Roman"/>
          <w:sz w:val="28"/>
          <w:szCs w:val="28"/>
        </w:rPr>
        <w:fldChar w:fldCharType="begin"/>
      </w:r>
      <w:r>
        <w:rPr>
          <w:rStyle w:val="26"/>
          <w:rFonts w:ascii="Times New Roman" w:hAnsi="Times New Roman" w:eastAsia="仿宋_GB2312" w:cs="Times New Roman"/>
          <w:sz w:val="28"/>
          <w:szCs w:val="28"/>
        </w:rPr>
        <w:instrText xml:space="preserve"> PAGEREF _Toc535227420 \h </w:instrText>
      </w:r>
      <w:r>
        <w:rPr>
          <w:rStyle w:val="26"/>
          <w:rFonts w:ascii="Times New Roman" w:hAnsi="Times New Roman" w:eastAsia="仿宋_GB2312" w:cs="Times New Roman"/>
          <w:sz w:val="28"/>
          <w:szCs w:val="28"/>
        </w:rPr>
        <w:fldChar w:fldCharType="separate"/>
      </w:r>
      <w:r>
        <w:rPr>
          <w:rStyle w:val="26"/>
          <w:rFonts w:ascii="Times New Roman" w:hAnsi="Times New Roman" w:eastAsia="仿宋_GB2312" w:cs="Times New Roman"/>
          <w:sz w:val="28"/>
          <w:szCs w:val="28"/>
        </w:rPr>
        <w:t>34</w:t>
      </w:r>
      <w:r>
        <w:rPr>
          <w:rStyle w:val="26"/>
          <w:rFonts w:ascii="Times New Roman" w:hAnsi="Times New Roman" w:eastAsia="仿宋_GB2312" w:cs="Times New Roman"/>
          <w:sz w:val="28"/>
          <w:szCs w:val="28"/>
        </w:rPr>
        <w:fldChar w:fldCharType="end"/>
      </w:r>
      <w:r>
        <w:rPr>
          <w:rStyle w:val="26"/>
          <w:rFonts w:ascii="Times New Roman" w:hAnsi="Times New Roman" w:eastAsia="仿宋_GB2312" w:cs="Times New Roman"/>
          <w:sz w:val="28"/>
          <w:szCs w:val="28"/>
        </w:rPr>
        <w:fldChar w:fldCharType="end"/>
      </w:r>
    </w:p>
    <w:p>
      <w:pPr>
        <w:pStyle w:val="15"/>
        <w:spacing w:before="0" w:after="0" w:line="500" w:lineRule="exact"/>
        <w:rPr>
          <w:rFonts w:ascii="Times New Roman" w:hAnsi="Times New Roman" w:eastAsia="仿宋_GB2312" w:cs="Times New Roman"/>
          <w:b w:val="0"/>
          <w:bCs w:val="0"/>
          <w:caps w:val="0"/>
          <w:sz w:val="28"/>
          <w:szCs w:val="28"/>
        </w:rPr>
      </w:pPr>
      <w:r>
        <w:fldChar w:fldCharType="begin"/>
      </w:r>
      <w:r>
        <w:instrText xml:space="preserve"> HYPERLINK \l "_Toc535227421" </w:instrText>
      </w:r>
      <w:r>
        <w:fldChar w:fldCharType="separate"/>
      </w:r>
      <w:r>
        <w:rPr>
          <w:rStyle w:val="26"/>
          <w:rFonts w:ascii="Times New Roman" w:hAnsi="Times New Roman" w:cs="Times New Roman"/>
          <w:b w:val="0"/>
          <w:sz w:val="28"/>
          <w:szCs w:val="28"/>
        </w:rPr>
        <w:t>第二部分示范中心数据</w:t>
      </w:r>
      <w:r>
        <w:rPr>
          <w:rFonts w:ascii="Times New Roman" w:hAnsi="Times New Roman" w:eastAsia="仿宋_GB2312" w:cs="Times New Roman"/>
          <w:b w:val="0"/>
          <w:sz w:val="28"/>
          <w:szCs w:val="28"/>
        </w:rPr>
        <w:tab/>
      </w:r>
      <w:r>
        <w:rPr>
          <w:rFonts w:ascii="Times New Roman" w:hAnsi="Times New Roman" w:eastAsia="仿宋_GB2312" w:cs="Times New Roman"/>
          <w:b w:val="0"/>
          <w:sz w:val="28"/>
          <w:szCs w:val="28"/>
        </w:rPr>
        <w:fldChar w:fldCharType="begin"/>
      </w:r>
      <w:r>
        <w:rPr>
          <w:rFonts w:ascii="Times New Roman" w:hAnsi="Times New Roman" w:eastAsia="仿宋_GB2312" w:cs="Times New Roman"/>
          <w:b w:val="0"/>
          <w:sz w:val="28"/>
          <w:szCs w:val="28"/>
        </w:rPr>
        <w:instrText xml:space="preserve"> PAGEREF _Toc535227421 \h </w:instrText>
      </w:r>
      <w:r>
        <w:rPr>
          <w:rFonts w:ascii="Times New Roman" w:hAnsi="Times New Roman" w:eastAsia="仿宋_GB2312" w:cs="Times New Roman"/>
          <w:b w:val="0"/>
          <w:sz w:val="28"/>
          <w:szCs w:val="28"/>
        </w:rPr>
        <w:fldChar w:fldCharType="separate"/>
      </w:r>
      <w:r>
        <w:rPr>
          <w:rFonts w:ascii="Times New Roman" w:hAnsi="Times New Roman" w:eastAsia="仿宋_GB2312" w:cs="Times New Roman"/>
          <w:b w:val="0"/>
          <w:sz w:val="28"/>
          <w:szCs w:val="28"/>
        </w:rPr>
        <w:t>35</w:t>
      </w:r>
      <w:r>
        <w:rPr>
          <w:rFonts w:ascii="Times New Roman" w:hAnsi="Times New Roman" w:eastAsia="仿宋_GB2312" w:cs="Times New Roman"/>
          <w:b w:val="0"/>
          <w:sz w:val="28"/>
          <w:szCs w:val="28"/>
        </w:rPr>
        <w:fldChar w:fldCharType="end"/>
      </w:r>
      <w:r>
        <w:rPr>
          <w:rFonts w:ascii="Times New Roman" w:hAnsi="Times New Roman" w:eastAsia="仿宋_GB2312" w:cs="Times New Roman"/>
          <w:b w:val="0"/>
          <w:sz w:val="28"/>
          <w:szCs w:val="28"/>
        </w:rPr>
        <w:fldChar w:fldCharType="end"/>
      </w:r>
    </w:p>
    <w:p>
      <w:pPr>
        <w:pStyle w:val="19"/>
        <w:spacing w:line="500" w:lineRule="exact"/>
        <w:ind w:firstLine="78"/>
        <w:rPr>
          <w:rStyle w:val="26"/>
          <w:rFonts w:ascii="Times New Roman" w:hAnsi="Times New Roman" w:eastAsia="仿宋_GB2312" w:cs="Times New Roman"/>
          <w:sz w:val="28"/>
          <w:szCs w:val="28"/>
        </w:rPr>
      </w:pPr>
      <w:r>
        <w:fldChar w:fldCharType="begin"/>
      </w:r>
      <w:r>
        <w:instrText xml:space="preserve"> HYPERLINK \l "_Toc535227422" </w:instrText>
      </w:r>
      <w:r>
        <w:fldChar w:fldCharType="separate"/>
      </w:r>
      <w:r>
        <w:rPr>
          <w:rStyle w:val="26"/>
          <w:rFonts w:ascii="Times New Roman" w:hAnsi="Times New Roman" w:eastAsia="仿宋_GB2312" w:cs="Times New Roman"/>
          <w:sz w:val="28"/>
          <w:szCs w:val="28"/>
        </w:rPr>
        <w:t>一、示范中心基本情况</w:t>
      </w:r>
      <w:r>
        <w:rPr>
          <w:rStyle w:val="26"/>
          <w:rFonts w:ascii="Times New Roman" w:hAnsi="Times New Roman" w:eastAsia="仿宋_GB2312" w:cs="Times New Roman"/>
          <w:sz w:val="28"/>
          <w:szCs w:val="28"/>
        </w:rPr>
        <w:tab/>
      </w:r>
      <w:r>
        <w:rPr>
          <w:rStyle w:val="26"/>
          <w:rFonts w:ascii="Times New Roman" w:hAnsi="Times New Roman" w:eastAsia="仿宋_GB2312" w:cs="Times New Roman"/>
          <w:sz w:val="28"/>
          <w:szCs w:val="28"/>
        </w:rPr>
        <w:fldChar w:fldCharType="begin"/>
      </w:r>
      <w:r>
        <w:rPr>
          <w:rStyle w:val="26"/>
          <w:rFonts w:ascii="Times New Roman" w:hAnsi="Times New Roman" w:eastAsia="仿宋_GB2312" w:cs="Times New Roman"/>
          <w:sz w:val="28"/>
          <w:szCs w:val="28"/>
        </w:rPr>
        <w:instrText xml:space="preserve"> PAGEREF _Toc535227422 \h </w:instrText>
      </w:r>
      <w:r>
        <w:rPr>
          <w:rStyle w:val="26"/>
          <w:rFonts w:ascii="Times New Roman" w:hAnsi="Times New Roman" w:eastAsia="仿宋_GB2312" w:cs="Times New Roman"/>
          <w:sz w:val="28"/>
          <w:szCs w:val="28"/>
        </w:rPr>
        <w:fldChar w:fldCharType="separate"/>
      </w:r>
      <w:r>
        <w:rPr>
          <w:rStyle w:val="26"/>
          <w:rFonts w:ascii="Times New Roman" w:hAnsi="Times New Roman" w:eastAsia="仿宋_GB2312" w:cs="Times New Roman"/>
          <w:sz w:val="28"/>
          <w:szCs w:val="28"/>
        </w:rPr>
        <w:t>35</w:t>
      </w:r>
      <w:r>
        <w:rPr>
          <w:rStyle w:val="26"/>
          <w:rFonts w:ascii="Times New Roman" w:hAnsi="Times New Roman" w:eastAsia="仿宋_GB2312" w:cs="Times New Roman"/>
          <w:sz w:val="28"/>
          <w:szCs w:val="28"/>
        </w:rPr>
        <w:fldChar w:fldCharType="end"/>
      </w:r>
      <w:r>
        <w:rPr>
          <w:rStyle w:val="26"/>
          <w:rFonts w:ascii="Times New Roman" w:hAnsi="Times New Roman" w:eastAsia="仿宋_GB2312" w:cs="Times New Roman"/>
          <w:sz w:val="28"/>
          <w:szCs w:val="28"/>
        </w:rPr>
        <w:fldChar w:fldCharType="end"/>
      </w:r>
    </w:p>
    <w:p>
      <w:pPr>
        <w:pStyle w:val="19"/>
        <w:spacing w:line="500" w:lineRule="exact"/>
        <w:ind w:firstLine="78"/>
        <w:rPr>
          <w:rStyle w:val="26"/>
          <w:rFonts w:ascii="Times New Roman" w:hAnsi="Times New Roman" w:eastAsia="仿宋_GB2312" w:cs="Times New Roman"/>
          <w:sz w:val="28"/>
          <w:szCs w:val="28"/>
        </w:rPr>
      </w:pPr>
      <w:r>
        <w:fldChar w:fldCharType="begin"/>
      </w:r>
      <w:r>
        <w:instrText xml:space="preserve"> HYPERLINK \l "_Toc535227423" </w:instrText>
      </w:r>
      <w:r>
        <w:fldChar w:fldCharType="separate"/>
      </w:r>
      <w:r>
        <w:rPr>
          <w:rStyle w:val="26"/>
          <w:rFonts w:ascii="Times New Roman" w:hAnsi="Times New Roman" w:eastAsia="仿宋_GB2312" w:cs="Times New Roman"/>
          <w:sz w:val="28"/>
          <w:szCs w:val="28"/>
        </w:rPr>
        <w:t>二、人才培养情况</w:t>
      </w:r>
      <w:r>
        <w:rPr>
          <w:rStyle w:val="26"/>
          <w:rFonts w:ascii="Times New Roman" w:hAnsi="Times New Roman" w:eastAsia="仿宋_GB2312" w:cs="Times New Roman"/>
          <w:sz w:val="28"/>
          <w:szCs w:val="28"/>
        </w:rPr>
        <w:tab/>
      </w:r>
      <w:r>
        <w:rPr>
          <w:rStyle w:val="26"/>
          <w:rFonts w:ascii="Times New Roman" w:hAnsi="Times New Roman" w:eastAsia="仿宋_GB2312" w:cs="Times New Roman"/>
          <w:sz w:val="28"/>
          <w:szCs w:val="28"/>
        </w:rPr>
        <w:fldChar w:fldCharType="begin"/>
      </w:r>
      <w:r>
        <w:rPr>
          <w:rStyle w:val="26"/>
          <w:rFonts w:ascii="Times New Roman" w:hAnsi="Times New Roman" w:eastAsia="仿宋_GB2312" w:cs="Times New Roman"/>
          <w:sz w:val="28"/>
          <w:szCs w:val="28"/>
        </w:rPr>
        <w:instrText xml:space="preserve"> PAGEREF _Toc535227423 \h </w:instrText>
      </w:r>
      <w:r>
        <w:rPr>
          <w:rStyle w:val="26"/>
          <w:rFonts w:ascii="Times New Roman" w:hAnsi="Times New Roman" w:eastAsia="仿宋_GB2312" w:cs="Times New Roman"/>
          <w:sz w:val="28"/>
          <w:szCs w:val="28"/>
        </w:rPr>
        <w:fldChar w:fldCharType="separate"/>
      </w:r>
      <w:r>
        <w:rPr>
          <w:rStyle w:val="26"/>
          <w:rFonts w:ascii="Times New Roman" w:hAnsi="Times New Roman" w:eastAsia="仿宋_GB2312" w:cs="Times New Roman"/>
          <w:sz w:val="28"/>
          <w:szCs w:val="28"/>
        </w:rPr>
        <w:t>36</w:t>
      </w:r>
      <w:r>
        <w:rPr>
          <w:rStyle w:val="26"/>
          <w:rFonts w:ascii="Times New Roman" w:hAnsi="Times New Roman" w:eastAsia="仿宋_GB2312" w:cs="Times New Roman"/>
          <w:sz w:val="28"/>
          <w:szCs w:val="28"/>
        </w:rPr>
        <w:fldChar w:fldCharType="end"/>
      </w:r>
      <w:r>
        <w:rPr>
          <w:rStyle w:val="26"/>
          <w:rFonts w:ascii="Times New Roman" w:hAnsi="Times New Roman" w:eastAsia="仿宋_GB2312" w:cs="Times New Roman"/>
          <w:sz w:val="28"/>
          <w:szCs w:val="28"/>
        </w:rPr>
        <w:fldChar w:fldCharType="end"/>
      </w:r>
    </w:p>
    <w:p>
      <w:pPr>
        <w:pStyle w:val="9"/>
        <w:tabs>
          <w:tab w:val="right" w:leader="dot" w:pos="8720"/>
        </w:tabs>
        <w:spacing w:line="500" w:lineRule="exact"/>
        <w:ind w:firstLine="340" w:firstLineChars="170"/>
        <w:rPr>
          <w:rStyle w:val="26"/>
          <w:rFonts w:ascii="Times New Roman" w:hAnsi="Times New Roman" w:cs="Times New Roman"/>
          <w:sz w:val="28"/>
          <w:szCs w:val="28"/>
        </w:rPr>
      </w:pPr>
      <w:r>
        <w:fldChar w:fldCharType="begin"/>
      </w:r>
      <w:r>
        <w:instrText xml:space="preserve"> HYPERLINK \l "_Toc535227424" </w:instrText>
      </w:r>
      <w:r>
        <w:fldChar w:fldCharType="separate"/>
      </w:r>
      <w:r>
        <w:rPr>
          <w:rStyle w:val="26"/>
          <w:rFonts w:ascii="Times New Roman" w:hAnsi="Times New Roman" w:eastAsia="仿宋_GB2312" w:cs="Times New Roman"/>
          <w:i w:val="0"/>
          <w:sz w:val="28"/>
          <w:szCs w:val="28"/>
        </w:rPr>
        <w:t>（一）示范中心实验教学面向所在学校专业及学生情况</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_Toc535227424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36</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9"/>
        <w:tabs>
          <w:tab w:val="right" w:leader="dot" w:pos="8720"/>
        </w:tabs>
        <w:spacing w:line="500" w:lineRule="exact"/>
        <w:ind w:firstLine="340" w:firstLineChars="170"/>
        <w:rPr>
          <w:rStyle w:val="26"/>
          <w:rFonts w:ascii="Times New Roman" w:hAnsi="Times New Roman" w:cs="Times New Roman"/>
          <w:sz w:val="28"/>
          <w:szCs w:val="28"/>
        </w:rPr>
      </w:pPr>
      <w:r>
        <w:fldChar w:fldCharType="begin"/>
      </w:r>
      <w:r>
        <w:instrText xml:space="preserve"> HYPERLINK \l "_Toc535227425" </w:instrText>
      </w:r>
      <w:r>
        <w:fldChar w:fldCharType="separate"/>
      </w:r>
      <w:r>
        <w:rPr>
          <w:rStyle w:val="26"/>
          <w:rFonts w:ascii="Times New Roman" w:hAnsi="Times New Roman" w:eastAsia="仿宋_GB2312" w:cs="Times New Roman"/>
          <w:i w:val="0"/>
          <w:sz w:val="28"/>
          <w:szCs w:val="28"/>
        </w:rPr>
        <w:t>（二）实验教学资源情况</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_Toc535227425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36</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9"/>
        <w:tabs>
          <w:tab w:val="right" w:leader="dot" w:pos="8720"/>
        </w:tabs>
        <w:spacing w:line="500" w:lineRule="exact"/>
        <w:ind w:firstLine="340" w:firstLineChars="170"/>
        <w:rPr>
          <w:rStyle w:val="26"/>
          <w:rFonts w:ascii="Times New Roman" w:hAnsi="Times New Roman" w:cs="Times New Roman"/>
          <w:sz w:val="28"/>
          <w:szCs w:val="28"/>
        </w:rPr>
      </w:pPr>
      <w:r>
        <w:fldChar w:fldCharType="begin"/>
      </w:r>
      <w:r>
        <w:instrText xml:space="preserve"> HYPERLINK \l "_Toc535227426" </w:instrText>
      </w:r>
      <w:r>
        <w:fldChar w:fldCharType="separate"/>
      </w:r>
      <w:r>
        <w:rPr>
          <w:rStyle w:val="26"/>
          <w:rFonts w:ascii="Times New Roman" w:hAnsi="Times New Roman" w:eastAsia="仿宋_GB2312" w:cs="Times New Roman"/>
          <w:i w:val="0"/>
          <w:sz w:val="28"/>
          <w:szCs w:val="28"/>
        </w:rPr>
        <w:t>（三）学生获奖情况</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_Toc535227426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36</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19"/>
        <w:spacing w:line="500" w:lineRule="exact"/>
        <w:ind w:firstLine="78"/>
        <w:rPr>
          <w:rStyle w:val="26"/>
          <w:rFonts w:ascii="Times New Roman" w:hAnsi="Times New Roman" w:cs="Times New Roman"/>
          <w:sz w:val="28"/>
          <w:szCs w:val="28"/>
        </w:rPr>
      </w:pPr>
      <w:r>
        <w:fldChar w:fldCharType="begin"/>
      </w:r>
      <w:r>
        <w:instrText xml:space="preserve"> HYPERLINK \l "_Toc535227427" </w:instrText>
      </w:r>
      <w:r>
        <w:fldChar w:fldCharType="separate"/>
      </w:r>
      <w:r>
        <w:rPr>
          <w:rStyle w:val="26"/>
          <w:rFonts w:ascii="Times New Roman" w:hAnsi="Times New Roman" w:eastAsia="仿宋_GB2312" w:cs="Times New Roman"/>
          <w:sz w:val="28"/>
          <w:szCs w:val="28"/>
        </w:rPr>
        <w:t>三、教学改革与科学研究情况</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_Toc535227427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37</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9"/>
        <w:tabs>
          <w:tab w:val="right" w:leader="dot" w:pos="8720"/>
        </w:tabs>
        <w:spacing w:line="500" w:lineRule="exact"/>
        <w:ind w:firstLine="340" w:firstLineChars="170"/>
        <w:rPr>
          <w:rStyle w:val="26"/>
          <w:rFonts w:ascii="Times New Roman" w:hAnsi="Times New Roman" w:cs="Times New Roman"/>
          <w:sz w:val="28"/>
          <w:szCs w:val="28"/>
        </w:rPr>
      </w:pPr>
      <w:r>
        <w:fldChar w:fldCharType="begin"/>
      </w:r>
      <w:r>
        <w:instrText xml:space="preserve"> HYPERLINK \l "_Toc535227428" </w:instrText>
      </w:r>
      <w:r>
        <w:fldChar w:fldCharType="separate"/>
      </w:r>
      <w:r>
        <w:rPr>
          <w:rStyle w:val="26"/>
          <w:rFonts w:ascii="Times New Roman" w:hAnsi="Times New Roman" w:eastAsia="仿宋_GB2312" w:cs="Times New Roman"/>
          <w:i w:val="0"/>
          <w:sz w:val="28"/>
          <w:szCs w:val="28"/>
        </w:rPr>
        <w:t>（一）承担教学改革任务及经费</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_Toc535227428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37</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9"/>
        <w:tabs>
          <w:tab w:val="right" w:leader="dot" w:pos="8720"/>
        </w:tabs>
        <w:spacing w:line="500" w:lineRule="exact"/>
        <w:ind w:firstLine="340" w:firstLineChars="170"/>
        <w:rPr>
          <w:rStyle w:val="26"/>
          <w:rFonts w:ascii="Times New Roman" w:hAnsi="Times New Roman" w:cs="Times New Roman"/>
          <w:sz w:val="28"/>
          <w:szCs w:val="28"/>
        </w:rPr>
      </w:pPr>
      <w:r>
        <w:fldChar w:fldCharType="begin"/>
      </w:r>
      <w:r>
        <w:instrText xml:space="preserve"> HYPERLINK \l "_Toc535227429" </w:instrText>
      </w:r>
      <w:r>
        <w:fldChar w:fldCharType="separate"/>
      </w:r>
      <w:r>
        <w:rPr>
          <w:rStyle w:val="26"/>
          <w:rFonts w:ascii="Times New Roman" w:hAnsi="Times New Roman" w:eastAsia="仿宋_GB2312" w:cs="Times New Roman"/>
          <w:i w:val="0"/>
          <w:sz w:val="28"/>
          <w:szCs w:val="28"/>
        </w:rPr>
        <w:t>（二）承担科研任务及经费</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_Toc535227429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38</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9"/>
        <w:tabs>
          <w:tab w:val="right" w:leader="dot" w:pos="8720"/>
        </w:tabs>
        <w:spacing w:line="500" w:lineRule="exact"/>
        <w:ind w:firstLine="340" w:firstLineChars="170"/>
        <w:rPr>
          <w:rStyle w:val="26"/>
          <w:rFonts w:ascii="Times New Roman" w:hAnsi="Times New Roman" w:cs="Times New Roman"/>
          <w:sz w:val="28"/>
          <w:szCs w:val="28"/>
        </w:rPr>
      </w:pPr>
      <w:r>
        <w:fldChar w:fldCharType="begin"/>
      </w:r>
      <w:r>
        <w:instrText xml:space="preserve"> HYPERLINK \l "_Toc535227431" </w:instrText>
      </w:r>
      <w:r>
        <w:fldChar w:fldCharType="separate"/>
      </w:r>
      <w:r>
        <w:rPr>
          <w:rStyle w:val="26"/>
          <w:rFonts w:ascii="Times New Roman" w:hAnsi="Times New Roman" w:eastAsia="仿宋_GB2312" w:cs="Times New Roman"/>
          <w:i w:val="0"/>
          <w:sz w:val="28"/>
          <w:szCs w:val="28"/>
        </w:rPr>
        <w:t>（三）研究成果</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_Toc535227431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55</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19"/>
        <w:spacing w:line="500" w:lineRule="exact"/>
        <w:ind w:firstLine="78"/>
        <w:rPr>
          <w:rStyle w:val="26"/>
          <w:rFonts w:ascii="Times New Roman" w:hAnsi="Times New Roman" w:cs="Times New Roman"/>
          <w:sz w:val="28"/>
          <w:szCs w:val="28"/>
        </w:rPr>
      </w:pPr>
      <w:r>
        <w:fldChar w:fldCharType="begin"/>
      </w:r>
      <w:r>
        <w:instrText xml:space="preserve"> HYPERLINK \l "_Toc535227432" </w:instrText>
      </w:r>
      <w:r>
        <w:fldChar w:fldCharType="separate"/>
      </w:r>
      <w:r>
        <w:rPr>
          <w:rStyle w:val="26"/>
          <w:rFonts w:ascii="Times New Roman" w:hAnsi="Times New Roman" w:eastAsia="仿宋_GB2312" w:cs="Times New Roman"/>
          <w:sz w:val="28"/>
          <w:szCs w:val="28"/>
        </w:rPr>
        <w:t>四、人才队伍基本情况</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_Toc535227432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79</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9"/>
        <w:tabs>
          <w:tab w:val="right" w:leader="dot" w:pos="8720"/>
        </w:tabs>
        <w:spacing w:line="500" w:lineRule="exact"/>
        <w:ind w:firstLine="300" w:firstLineChars="150"/>
        <w:rPr>
          <w:rFonts w:ascii="Times New Roman" w:hAnsi="Times New Roman" w:eastAsia="仿宋_GB2312" w:cs="Times New Roman"/>
          <w:i w:val="0"/>
          <w:iCs w:val="0"/>
          <w:sz w:val="28"/>
          <w:szCs w:val="28"/>
        </w:rPr>
      </w:pPr>
      <w:r>
        <w:fldChar w:fldCharType="begin"/>
      </w:r>
      <w:r>
        <w:instrText xml:space="preserve"> HYPERLINK \l "_Toc535227433" </w:instrText>
      </w:r>
      <w:r>
        <w:fldChar w:fldCharType="separate"/>
      </w:r>
      <w:r>
        <w:rPr>
          <w:rStyle w:val="26"/>
          <w:rFonts w:ascii="Times New Roman" w:hAnsi="Times New Roman" w:eastAsia="仿宋_GB2312" w:cs="Times New Roman"/>
          <w:i w:val="0"/>
          <w:sz w:val="28"/>
          <w:szCs w:val="28"/>
        </w:rPr>
        <w:t>（一）本年度固定人员情况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_Toc535227433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79</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9"/>
        <w:tabs>
          <w:tab w:val="right" w:leader="dot" w:pos="8720"/>
        </w:tabs>
        <w:spacing w:line="500" w:lineRule="exact"/>
        <w:ind w:firstLine="300" w:firstLineChars="150"/>
        <w:rPr>
          <w:rFonts w:ascii="Times New Roman" w:hAnsi="Times New Roman" w:eastAsia="仿宋_GB2312" w:cs="Times New Roman"/>
          <w:i w:val="0"/>
          <w:iCs w:val="0"/>
          <w:sz w:val="28"/>
          <w:szCs w:val="28"/>
        </w:rPr>
      </w:pPr>
      <w:r>
        <w:fldChar w:fldCharType="begin"/>
      </w:r>
      <w:r>
        <w:instrText xml:space="preserve"> HYPERLINK \l "_Toc535227434" </w:instrText>
      </w:r>
      <w:r>
        <w:fldChar w:fldCharType="separate"/>
      </w:r>
      <w:r>
        <w:rPr>
          <w:rStyle w:val="26"/>
          <w:rFonts w:ascii="Times New Roman" w:hAnsi="Times New Roman" w:eastAsia="仿宋_GB2312" w:cs="Times New Roman"/>
          <w:i w:val="0"/>
          <w:sz w:val="28"/>
          <w:szCs w:val="28"/>
        </w:rPr>
        <w:t>（二）本年度流动人员情况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_Toc535227434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83</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9"/>
        <w:tabs>
          <w:tab w:val="right" w:leader="dot" w:pos="8720"/>
        </w:tabs>
        <w:spacing w:line="500" w:lineRule="exact"/>
        <w:ind w:left="1640" w:leftChars="400" w:hanging="800" w:hangingChars="400"/>
        <w:rPr>
          <w:rFonts w:ascii="Times New Roman" w:hAnsi="Times New Roman" w:eastAsia="仿宋_GB2312" w:cs="Times New Roman"/>
          <w:i w:val="0"/>
          <w:iCs w:val="0"/>
          <w:sz w:val="28"/>
          <w:szCs w:val="28"/>
        </w:rPr>
      </w:pPr>
      <w:r>
        <w:fldChar w:fldCharType="begin"/>
      </w:r>
      <w:r>
        <w:instrText xml:space="preserve"> HYPERLINK \l "_Toc535227435" </w:instrText>
      </w:r>
      <w:r>
        <w:fldChar w:fldCharType="separate"/>
      </w:r>
      <w:r>
        <w:rPr>
          <w:rStyle w:val="26"/>
          <w:rFonts w:ascii="Times New Roman" w:hAnsi="Times New Roman" w:eastAsia="仿宋_GB2312" w:cs="Times New Roman"/>
          <w:i w:val="0"/>
          <w:sz w:val="28"/>
          <w:szCs w:val="28"/>
        </w:rPr>
        <w:t>（三）本年度教学指导委员会人员情况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_Toc535227435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83</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9"/>
        <w:spacing w:line="500" w:lineRule="exact"/>
        <w:ind w:firstLine="78"/>
        <w:rPr>
          <w:rStyle w:val="26"/>
          <w:rFonts w:ascii="Times New Roman" w:hAnsi="Times New Roman" w:cs="Times New Roman"/>
          <w:sz w:val="28"/>
          <w:szCs w:val="28"/>
        </w:rPr>
      </w:pPr>
      <w:r>
        <w:fldChar w:fldCharType="begin"/>
      </w:r>
      <w:r>
        <w:instrText xml:space="preserve"> HYPERLINK \l "_Toc535227436" </w:instrText>
      </w:r>
      <w:r>
        <w:fldChar w:fldCharType="separate"/>
      </w:r>
      <w:r>
        <w:rPr>
          <w:rStyle w:val="26"/>
          <w:rFonts w:ascii="Times New Roman" w:hAnsi="Times New Roman" w:eastAsia="仿宋_GB2312" w:cs="Times New Roman"/>
          <w:sz w:val="28"/>
          <w:szCs w:val="28"/>
        </w:rPr>
        <w:t>五、信息化建设、开放运行和示范辐射情况</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_Toc535227436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84</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9"/>
        <w:tabs>
          <w:tab w:val="right" w:leader="dot" w:pos="8720"/>
        </w:tabs>
        <w:spacing w:line="500" w:lineRule="exact"/>
        <w:ind w:firstLine="320" w:firstLineChars="160"/>
        <w:rPr>
          <w:rFonts w:ascii="Times New Roman" w:hAnsi="Times New Roman" w:eastAsia="仿宋_GB2312" w:cs="Times New Roman"/>
          <w:i w:val="0"/>
          <w:iCs w:val="0"/>
          <w:sz w:val="28"/>
          <w:szCs w:val="28"/>
        </w:rPr>
      </w:pPr>
      <w:r>
        <w:fldChar w:fldCharType="begin"/>
      </w:r>
      <w:r>
        <w:instrText xml:space="preserve"> HYPERLINK \l "_Toc535227437" </w:instrText>
      </w:r>
      <w:r>
        <w:fldChar w:fldCharType="separate"/>
      </w:r>
      <w:r>
        <w:rPr>
          <w:rStyle w:val="26"/>
          <w:rFonts w:ascii="Times New Roman" w:hAnsi="Times New Roman" w:eastAsia="仿宋_GB2312" w:cs="Times New Roman"/>
          <w:i w:val="0"/>
          <w:sz w:val="28"/>
          <w:szCs w:val="28"/>
        </w:rPr>
        <w:t>（一）信息化建设情况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_Toc535227437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84</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9"/>
        <w:tabs>
          <w:tab w:val="right" w:leader="dot" w:pos="8720"/>
        </w:tabs>
        <w:spacing w:line="500" w:lineRule="exact"/>
        <w:ind w:firstLine="320" w:firstLineChars="160"/>
        <w:rPr>
          <w:rFonts w:ascii="Times New Roman" w:hAnsi="Times New Roman" w:eastAsia="仿宋_GB2312" w:cs="Times New Roman"/>
          <w:i w:val="0"/>
          <w:iCs w:val="0"/>
          <w:sz w:val="28"/>
          <w:szCs w:val="28"/>
        </w:rPr>
      </w:pPr>
      <w:r>
        <w:fldChar w:fldCharType="begin"/>
      </w:r>
      <w:r>
        <w:instrText xml:space="preserve"> HYPERLINK \l "_Toc535227438" </w:instrText>
      </w:r>
      <w:r>
        <w:fldChar w:fldCharType="separate"/>
      </w:r>
      <w:r>
        <w:rPr>
          <w:rStyle w:val="26"/>
          <w:rFonts w:ascii="Times New Roman" w:hAnsi="Times New Roman" w:eastAsia="仿宋_GB2312" w:cs="Times New Roman"/>
          <w:i w:val="0"/>
          <w:sz w:val="28"/>
          <w:szCs w:val="28"/>
        </w:rPr>
        <w:t>（二）开放运行和示范辐射情况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_Toc535227438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84</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9"/>
        <w:tabs>
          <w:tab w:val="right" w:leader="dot" w:pos="8720"/>
        </w:tabs>
        <w:spacing w:line="500" w:lineRule="exact"/>
        <w:ind w:firstLine="320" w:firstLineChars="160"/>
        <w:rPr>
          <w:rFonts w:ascii="Times New Roman" w:hAnsi="Times New Roman" w:eastAsia="仿宋_GB2312" w:cs="Times New Roman"/>
          <w:i w:val="0"/>
          <w:iCs w:val="0"/>
          <w:sz w:val="28"/>
          <w:szCs w:val="28"/>
        </w:rPr>
      </w:pPr>
      <w:r>
        <w:fldChar w:fldCharType="begin"/>
      </w:r>
      <w:r>
        <w:instrText xml:space="preserve"> HYPERLINK \l "_Toc535227439" </w:instrText>
      </w:r>
      <w:r>
        <w:fldChar w:fldCharType="separate"/>
      </w:r>
      <w:r>
        <w:rPr>
          <w:rStyle w:val="26"/>
          <w:rFonts w:ascii="Times New Roman" w:hAnsi="Times New Roman" w:eastAsia="仿宋_GB2312" w:cs="Times New Roman"/>
          <w:i w:val="0"/>
          <w:sz w:val="28"/>
          <w:szCs w:val="28"/>
        </w:rPr>
        <w:t>（三）安全工作情况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_Toc535227439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99</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9"/>
        <w:spacing w:line="500" w:lineRule="exact"/>
        <w:ind w:firstLine="78"/>
        <w:rPr>
          <w:rStyle w:val="26"/>
          <w:rFonts w:ascii="Times New Roman" w:hAnsi="Times New Roman" w:cs="Times New Roman"/>
          <w:sz w:val="28"/>
          <w:szCs w:val="28"/>
        </w:rPr>
      </w:pPr>
      <w:r>
        <w:fldChar w:fldCharType="begin"/>
      </w:r>
      <w:r>
        <w:instrText xml:space="preserve"> HYPERLINK \l "_Toc535227440" </w:instrText>
      </w:r>
      <w:r>
        <w:fldChar w:fldCharType="separate"/>
      </w:r>
      <w:r>
        <w:rPr>
          <w:rStyle w:val="26"/>
          <w:rFonts w:ascii="Times New Roman" w:hAnsi="Times New Roman" w:eastAsia="仿宋_GB2312" w:cs="Times New Roman"/>
          <w:sz w:val="28"/>
          <w:szCs w:val="28"/>
        </w:rPr>
        <w:t>六、审核意见</w:t>
      </w:r>
      <w:r>
        <w:rPr>
          <w:rStyle w:val="26"/>
          <w:rFonts w:ascii="Times New Roman" w:hAnsi="Times New Roman" w:cs="Times New Roman"/>
          <w:sz w:val="28"/>
          <w:szCs w:val="28"/>
        </w:rPr>
        <w:tab/>
      </w:r>
      <w:r>
        <w:rPr>
          <w:rStyle w:val="26"/>
          <w:rFonts w:ascii="Times New Roman" w:hAnsi="Times New Roman" w:cs="Times New Roman"/>
          <w:sz w:val="28"/>
          <w:szCs w:val="28"/>
        </w:rPr>
        <w:fldChar w:fldCharType="begin"/>
      </w:r>
      <w:r>
        <w:rPr>
          <w:rStyle w:val="26"/>
          <w:rFonts w:ascii="Times New Roman" w:hAnsi="Times New Roman" w:cs="Times New Roman"/>
          <w:sz w:val="28"/>
          <w:szCs w:val="28"/>
        </w:rPr>
        <w:instrText xml:space="preserve"> PAGEREF _Toc535227440 \h </w:instrText>
      </w:r>
      <w:r>
        <w:rPr>
          <w:rStyle w:val="26"/>
          <w:rFonts w:ascii="Times New Roman" w:hAnsi="Times New Roman" w:cs="Times New Roman"/>
          <w:sz w:val="28"/>
          <w:szCs w:val="28"/>
        </w:rPr>
        <w:fldChar w:fldCharType="separate"/>
      </w:r>
      <w:r>
        <w:rPr>
          <w:rStyle w:val="26"/>
          <w:rFonts w:ascii="Times New Roman" w:hAnsi="Times New Roman" w:cs="Times New Roman"/>
          <w:sz w:val="28"/>
          <w:szCs w:val="28"/>
        </w:rPr>
        <w:t>100</w:t>
      </w:r>
      <w:r>
        <w:rPr>
          <w:rStyle w:val="26"/>
          <w:rFonts w:ascii="Times New Roman" w:hAnsi="Times New Roman" w:cs="Times New Roman"/>
          <w:sz w:val="28"/>
          <w:szCs w:val="28"/>
        </w:rPr>
        <w:fldChar w:fldCharType="end"/>
      </w:r>
      <w:r>
        <w:rPr>
          <w:rStyle w:val="26"/>
          <w:rFonts w:ascii="Times New Roman" w:hAnsi="Times New Roman" w:cs="Times New Roman"/>
          <w:sz w:val="28"/>
          <w:szCs w:val="28"/>
        </w:rPr>
        <w:fldChar w:fldCharType="end"/>
      </w:r>
    </w:p>
    <w:p>
      <w:pPr>
        <w:pStyle w:val="9"/>
        <w:tabs>
          <w:tab w:val="right" w:leader="dot" w:pos="8720"/>
        </w:tabs>
        <w:spacing w:line="500" w:lineRule="exact"/>
        <w:ind w:firstLine="320" w:firstLineChars="160"/>
        <w:rPr>
          <w:rFonts w:ascii="Times New Roman" w:hAnsi="Times New Roman" w:eastAsia="仿宋_GB2312" w:cs="Times New Roman"/>
          <w:i w:val="0"/>
          <w:iCs w:val="0"/>
          <w:sz w:val="28"/>
          <w:szCs w:val="28"/>
        </w:rPr>
      </w:pPr>
      <w:r>
        <w:fldChar w:fldCharType="begin"/>
      </w:r>
      <w:r>
        <w:instrText xml:space="preserve"> HYPERLINK \l "_Toc535227441" </w:instrText>
      </w:r>
      <w:r>
        <w:fldChar w:fldCharType="separate"/>
      </w:r>
      <w:r>
        <w:rPr>
          <w:rStyle w:val="26"/>
          <w:rFonts w:ascii="Times New Roman" w:hAnsi="Times New Roman" w:eastAsia="仿宋_GB2312" w:cs="Times New Roman"/>
          <w:i w:val="0"/>
          <w:sz w:val="28"/>
          <w:szCs w:val="28"/>
        </w:rPr>
        <w:t>（一）示范中心负责人意见</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_Toc535227441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100</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9"/>
        <w:tabs>
          <w:tab w:val="right" w:leader="dot" w:pos="8720"/>
        </w:tabs>
        <w:spacing w:line="500" w:lineRule="exact"/>
        <w:ind w:firstLine="320" w:firstLineChars="160"/>
        <w:rPr>
          <w:rFonts w:ascii="Times New Roman" w:hAnsi="Times New Roman" w:eastAsia="仿宋_GB2312" w:cs="Times New Roman"/>
          <w:i w:val="0"/>
          <w:iCs w:val="0"/>
          <w:sz w:val="28"/>
          <w:szCs w:val="28"/>
        </w:rPr>
      </w:pPr>
      <w:r>
        <w:fldChar w:fldCharType="begin"/>
      </w:r>
      <w:r>
        <w:instrText xml:space="preserve"> HYPERLINK \l "_Toc535227442" </w:instrText>
      </w:r>
      <w:r>
        <w:fldChar w:fldCharType="separate"/>
      </w:r>
      <w:r>
        <w:rPr>
          <w:rStyle w:val="26"/>
          <w:rFonts w:ascii="Times New Roman" w:hAnsi="Times New Roman" w:eastAsia="仿宋_GB2312" w:cs="Times New Roman"/>
          <w:i w:val="0"/>
          <w:sz w:val="28"/>
          <w:szCs w:val="28"/>
        </w:rPr>
        <w:t>（二）学校评估意见</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_Toc535227442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100</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widowControl/>
        <w:spacing w:line="500" w:lineRule="exact"/>
        <w:jc w:val="left"/>
        <w:rPr>
          <w:rFonts w:ascii="Times New Roman" w:hAnsi="Times New Roman" w:eastAsia="黑体" w:cs="Times New Roman"/>
          <w:bCs/>
          <w:color w:val="000000" w:themeColor="text1"/>
          <w:kern w:val="44"/>
          <w:sz w:val="40"/>
          <w:szCs w:val="44"/>
        </w:rPr>
      </w:pPr>
      <w:r>
        <w:rPr>
          <w:rFonts w:ascii="Times New Roman" w:hAnsi="Times New Roman" w:eastAsia="仿宋_GB2312" w:cs="Times New Roman"/>
          <w:bCs/>
          <w:color w:val="000000" w:themeColor="text1"/>
          <w:kern w:val="44"/>
          <w:sz w:val="28"/>
          <w:szCs w:val="28"/>
        </w:rPr>
        <w:fldChar w:fldCharType="end"/>
      </w:r>
    </w:p>
    <w:p>
      <w:pPr>
        <w:pStyle w:val="2"/>
        <w:jc w:val="center"/>
        <w:rPr>
          <w:rFonts w:ascii="Times New Roman" w:hAnsi="Times New Roman" w:eastAsia="黑体" w:cs="Times New Roman"/>
          <w:b w:val="0"/>
          <w:color w:val="000000" w:themeColor="text1"/>
          <w:sz w:val="40"/>
        </w:rPr>
        <w:sectPr>
          <w:headerReference r:id="rId3" w:type="default"/>
          <w:footerReference r:id="rId4" w:type="default"/>
          <w:pgSz w:w="11906" w:h="16838"/>
          <w:pgMar w:top="1418" w:right="1588" w:bottom="1418" w:left="1588" w:header="851" w:footer="992" w:gutter="0"/>
          <w:pgNumType w:start="1"/>
          <w:cols w:space="425" w:num="1"/>
          <w:docGrid w:type="lines" w:linePitch="312" w:charSpace="0"/>
        </w:sectPr>
      </w:pPr>
    </w:p>
    <w:p>
      <w:pPr>
        <w:pStyle w:val="2"/>
        <w:spacing w:before="312" w:beforeLines="100" w:after="312" w:afterLines="100" w:line="240" w:lineRule="auto"/>
        <w:jc w:val="center"/>
        <w:rPr>
          <w:rFonts w:ascii="Times New Roman" w:hAnsi="Times New Roman" w:eastAsia="黑体" w:cs="Times New Roman"/>
          <w:b w:val="0"/>
          <w:color w:val="000000" w:themeColor="text1"/>
          <w:sz w:val="40"/>
        </w:rPr>
      </w:pPr>
      <w:bookmarkStart w:id="0" w:name="_Toc535227401"/>
      <w:r>
        <w:rPr>
          <w:rFonts w:ascii="Times New Roman" w:hAnsi="Times New Roman" w:eastAsia="黑体" w:cs="Times New Roman"/>
          <w:b w:val="0"/>
          <w:color w:val="000000" w:themeColor="text1"/>
          <w:sz w:val="40"/>
        </w:rPr>
        <w:t>第一部分2018年度报告</w:t>
      </w:r>
      <w:bookmarkEnd w:id="0"/>
    </w:p>
    <w:p>
      <w:pPr>
        <w:pStyle w:val="3"/>
        <w:spacing w:before="156" w:beforeLines="50" w:after="156" w:afterLines="50" w:line="500" w:lineRule="exact"/>
        <w:rPr>
          <w:rFonts w:ascii="Times New Roman" w:hAnsi="Times New Roman" w:eastAsia="黑体" w:cs="Times New Roman"/>
          <w:b w:val="0"/>
          <w:color w:val="000000" w:themeColor="text1"/>
        </w:rPr>
      </w:pPr>
      <w:bookmarkStart w:id="1" w:name="_Toc535227402"/>
      <w:r>
        <w:rPr>
          <w:rFonts w:ascii="Times New Roman" w:hAnsi="Times New Roman" w:eastAsia="黑体" w:cs="Times New Roman"/>
          <w:b w:val="0"/>
          <w:color w:val="000000" w:themeColor="text1"/>
        </w:rPr>
        <w:t>一、人才培养工作和成效</w:t>
      </w:r>
      <w:bookmarkEnd w:id="1"/>
    </w:p>
    <w:p>
      <w:pPr>
        <w:pStyle w:val="4"/>
        <w:spacing w:before="62" w:beforeLines="20" w:after="62" w:afterLines="20" w:line="500" w:lineRule="exact"/>
        <w:ind w:firstLine="562" w:firstLineChars="200"/>
        <w:rPr>
          <w:rFonts w:ascii="Times New Roman" w:hAnsi="Times New Roman" w:eastAsia="楷体_GB2312" w:cs="Times New Roman"/>
          <w:color w:val="000000" w:themeColor="text1"/>
          <w:sz w:val="28"/>
          <w:szCs w:val="28"/>
        </w:rPr>
      </w:pPr>
      <w:bookmarkStart w:id="2" w:name="_Toc535227403"/>
      <w:r>
        <w:rPr>
          <w:rFonts w:ascii="Times New Roman" w:hAnsi="Times New Roman" w:eastAsia="楷体_GB2312" w:cs="Times New Roman"/>
          <w:color w:val="000000" w:themeColor="text1"/>
          <w:sz w:val="28"/>
          <w:szCs w:val="28"/>
        </w:rPr>
        <w:t>（一）人才培养基本情况</w:t>
      </w:r>
      <w:bookmarkEnd w:id="2"/>
    </w:p>
    <w:p>
      <w:pPr>
        <w:spacing w:line="500" w:lineRule="exact"/>
        <w:ind w:firstLine="560" w:firstLineChars="200"/>
        <w:rPr>
          <w:rFonts w:ascii="Times New Roman" w:hAnsi="Times New Roman" w:eastAsia="仿宋" w:cs="Times New Roman"/>
          <w:bCs/>
          <w:color w:val="000000" w:themeColor="text1"/>
          <w:sz w:val="28"/>
          <w:szCs w:val="28"/>
        </w:rPr>
      </w:pPr>
      <w:r>
        <w:rPr>
          <w:rFonts w:hint="eastAsia" w:ascii="Times New Roman" w:hAnsi="Times New Roman" w:eastAsia="仿宋" w:cs="Times New Roman"/>
          <w:bCs/>
          <w:color w:val="000000" w:themeColor="text1"/>
          <w:sz w:val="28"/>
          <w:szCs w:val="28"/>
        </w:rPr>
        <w:t>1．</w:t>
      </w:r>
      <w:r>
        <w:rPr>
          <w:rFonts w:ascii="Times New Roman" w:hAnsi="Times New Roman" w:eastAsia="仿宋" w:cs="Times New Roman"/>
          <w:bCs/>
          <w:color w:val="000000" w:themeColor="text1"/>
          <w:sz w:val="28"/>
          <w:szCs w:val="28"/>
        </w:rPr>
        <w:t>园艺学院设有设施农业科学与工程、园艺两个本科专业，2018年招收本科生人数分别为62、147人，目前共有在校本科生801人。2018年本科毕业生初次就业率为91.48%，升研率（含出国）42.61%。2018年招收博士生55名、学术型硕士130名、全日制专硕90名；毕业博士生37名、学术型硕士93名、全日制专硕87名。在读留学生20人，其中博士15人(果树学4人、蔬菜学11人);硕士5人(果树学1人、蔬菜学4人)。2018年获评陕西省优秀博士学位论文2篇、校级优秀博士学位论文2篇、校级优秀硕士学位论文2篇</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《发挥产学研优势，构建专业人才实践能力培养模式》获得全国农业硕士专业学位研究生实践教学成果二等奖。</w:t>
      </w:r>
    </w:p>
    <w:p>
      <w:pPr>
        <w:spacing w:line="500" w:lineRule="exact"/>
        <w:ind w:firstLine="560" w:firstLineChars="200"/>
        <w:rPr>
          <w:rFonts w:ascii="Times New Roman" w:hAnsi="Times New Roman" w:eastAsia="仿宋" w:cs="Times New Roman"/>
          <w:bCs/>
          <w:color w:val="000000" w:themeColor="text1"/>
          <w:sz w:val="28"/>
          <w:szCs w:val="28"/>
        </w:rPr>
      </w:pPr>
      <w:r>
        <w:rPr>
          <w:rFonts w:hint="eastAsia" w:ascii="Times New Roman" w:hAnsi="Times New Roman" w:eastAsia="仿宋" w:cs="Times New Roman"/>
          <w:bCs/>
          <w:color w:val="000000" w:themeColor="text1"/>
          <w:sz w:val="28"/>
          <w:szCs w:val="28"/>
        </w:rPr>
        <w:t>依托园艺实验教学示范中心，每年暑期为</w:t>
      </w:r>
      <w:r>
        <w:rPr>
          <w:rFonts w:ascii="Times New Roman" w:hAnsi="Times New Roman" w:eastAsia="仿宋" w:cs="Times New Roman"/>
          <w:bCs/>
          <w:color w:val="000000" w:themeColor="text1"/>
          <w:sz w:val="28"/>
          <w:szCs w:val="28"/>
        </w:rPr>
        <w:t>园艺专业“卓越人才班”学生进入卓越班</w:t>
      </w:r>
      <w:r>
        <w:rPr>
          <w:rFonts w:hint="eastAsia" w:ascii="Times New Roman" w:hAnsi="Times New Roman" w:eastAsia="仿宋" w:cs="Times New Roman"/>
          <w:bCs/>
          <w:color w:val="000000" w:themeColor="text1"/>
          <w:sz w:val="28"/>
          <w:szCs w:val="28"/>
        </w:rPr>
        <w:t>开设《园艺植物生物技术综合大实验》、外教全英文《科技论文写作》课程。在示范中心</w:t>
      </w:r>
      <w:r>
        <w:rPr>
          <w:rFonts w:ascii="Times New Roman" w:hAnsi="Times New Roman" w:eastAsia="仿宋" w:cs="Times New Roman"/>
          <w:bCs/>
          <w:color w:val="000000" w:themeColor="text1"/>
          <w:sz w:val="28"/>
          <w:szCs w:val="28"/>
        </w:rPr>
        <w:t>精心组织实施了学校花卉栽培能手竞赛、园艺加工品创意大赛，休闲农园景观设计大赛、园艺植物指示竞赛等学科竞赛等四场学科竞赛；全校参与</w:t>
      </w:r>
      <w:r>
        <w:rPr>
          <w:rFonts w:hint="eastAsia" w:ascii="Times New Roman" w:hAnsi="Times New Roman" w:eastAsia="仿宋" w:cs="Times New Roman"/>
          <w:bCs/>
          <w:color w:val="000000" w:themeColor="text1"/>
          <w:sz w:val="28"/>
          <w:szCs w:val="28"/>
        </w:rPr>
        <w:t>本科生学生</w:t>
      </w:r>
      <w:r>
        <w:rPr>
          <w:rFonts w:ascii="Times New Roman" w:hAnsi="Times New Roman" w:eastAsia="仿宋" w:cs="Times New Roman"/>
          <w:bCs/>
          <w:color w:val="000000" w:themeColor="text1"/>
          <w:sz w:val="28"/>
          <w:szCs w:val="28"/>
        </w:rPr>
        <w:t>人数1020人</w:t>
      </w:r>
      <w:r>
        <w:rPr>
          <w:rFonts w:hint="eastAsia" w:ascii="Times New Roman" w:hAnsi="Times New Roman" w:eastAsia="仿宋" w:cs="Times New Roman"/>
          <w:bCs/>
          <w:color w:val="000000" w:themeColor="text1"/>
          <w:sz w:val="28"/>
          <w:szCs w:val="28"/>
        </w:rPr>
        <w:t>，培养</w:t>
      </w:r>
      <w:r>
        <w:rPr>
          <w:rFonts w:ascii="Times New Roman" w:hAnsi="Times New Roman" w:eastAsia="仿宋" w:cs="Times New Roman"/>
          <w:bCs/>
          <w:color w:val="000000" w:themeColor="text1"/>
          <w:sz w:val="28"/>
          <w:szCs w:val="28"/>
        </w:rPr>
        <w:t>学生专业自信、激发学生学习</w:t>
      </w:r>
      <w:r>
        <w:rPr>
          <w:rFonts w:hint="eastAsia" w:ascii="Times New Roman" w:hAnsi="Times New Roman" w:eastAsia="仿宋" w:cs="Times New Roman"/>
          <w:bCs/>
          <w:color w:val="000000" w:themeColor="text1"/>
          <w:sz w:val="28"/>
          <w:szCs w:val="28"/>
        </w:rPr>
        <w:t>内生</w:t>
      </w:r>
      <w:r>
        <w:rPr>
          <w:rFonts w:ascii="Times New Roman" w:hAnsi="Times New Roman" w:eastAsia="仿宋" w:cs="Times New Roman"/>
          <w:bCs/>
          <w:color w:val="000000" w:themeColor="text1"/>
          <w:sz w:val="28"/>
          <w:szCs w:val="28"/>
        </w:rPr>
        <w:t>动力、增强专业技能、传播专业知识、展示专业魅力。自2016年活动开展以来，累计吸引校内3万余人次积极参与，其中专家教授近300人，教职工500余人次，试验示范站（基地）8个，整体活动在校内外引起了热烈反响，打造了园艺特色，教育效果极为明显</w:t>
      </w:r>
      <w:r>
        <w:rPr>
          <w:rFonts w:hint="eastAsia" w:ascii="Times New Roman" w:hAnsi="Times New Roman" w:eastAsia="仿宋" w:cs="Times New Roman"/>
          <w:bCs/>
          <w:color w:val="000000" w:themeColor="text1"/>
          <w:sz w:val="28"/>
          <w:szCs w:val="28"/>
        </w:rPr>
        <w:t>。</w:t>
      </w:r>
    </w:p>
    <w:p>
      <w:pPr>
        <w:spacing w:line="500" w:lineRule="exact"/>
        <w:ind w:firstLine="560" w:firstLineChars="200"/>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2018年，</w:t>
      </w:r>
      <w:r>
        <w:rPr>
          <w:rFonts w:hint="eastAsia" w:ascii="Times New Roman" w:hAnsi="Times New Roman" w:eastAsia="仿宋" w:cs="Times New Roman"/>
          <w:bCs/>
          <w:color w:val="000000" w:themeColor="text1"/>
          <w:sz w:val="28"/>
          <w:szCs w:val="28"/>
        </w:rPr>
        <w:t>在示范中心开展</w:t>
      </w:r>
      <w:r>
        <w:rPr>
          <w:rFonts w:ascii="Times New Roman" w:hAnsi="Times New Roman" w:eastAsia="仿宋" w:cs="Times New Roman"/>
          <w:bCs/>
          <w:color w:val="000000" w:themeColor="text1"/>
          <w:sz w:val="28"/>
          <w:szCs w:val="28"/>
        </w:rPr>
        <w:t>大学生科创项目</w:t>
      </w:r>
      <w:r>
        <w:rPr>
          <w:rFonts w:hint="eastAsia" w:ascii="Times New Roman" w:hAnsi="Times New Roman" w:eastAsia="仿宋" w:cs="Times New Roman"/>
          <w:bCs/>
          <w:color w:val="000000" w:themeColor="text1"/>
          <w:sz w:val="28"/>
          <w:szCs w:val="28"/>
        </w:rPr>
        <w:t>研究</w:t>
      </w:r>
      <w:r>
        <w:rPr>
          <w:rFonts w:ascii="Times New Roman" w:hAnsi="Times New Roman" w:eastAsia="仿宋" w:cs="Times New Roman"/>
          <w:bCs/>
          <w:color w:val="000000" w:themeColor="text1"/>
          <w:sz w:val="28"/>
          <w:szCs w:val="28"/>
        </w:rPr>
        <w:t>69项，其中国家级项目7项，省级项目9项，校级项目3项，</w:t>
      </w:r>
      <w:r>
        <w:rPr>
          <w:rFonts w:hint="eastAsia" w:ascii="Times New Roman" w:hAnsi="Times New Roman" w:eastAsia="仿宋" w:cs="Times New Roman"/>
          <w:bCs/>
          <w:color w:val="000000" w:themeColor="text1"/>
          <w:sz w:val="28"/>
          <w:szCs w:val="28"/>
        </w:rPr>
        <w:t>中心</w:t>
      </w:r>
      <w:r>
        <w:rPr>
          <w:rFonts w:ascii="Times New Roman" w:hAnsi="Times New Roman" w:eastAsia="仿宋" w:cs="Times New Roman"/>
          <w:bCs/>
          <w:color w:val="000000" w:themeColor="text1"/>
          <w:sz w:val="28"/>
          <w:szCs w:val="28"/>
        </w:rPr>
        <w:t>自筹经费5万元设立院级项目50项，参与科创项目的学生306人次</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2018届本科生毕业论文173篇，</w:t>
      </w:r>
      <w:r>
        <w:rPr>
          <w:rFonts w:hint="eastAsia" w:ascii="Times New Roman" w:hAnsi="Times New Roman" w:eastAsia="仿宋" w:cs="Times New Roman"/>
          <w:bCs/>
          <w:color w:val="000000" w:themeColor="text1"/>
          <w:sz w:val="28"/>
          <w:szCs w:val="28"/>
        </w:rPr>
        <w:t>在中心完成的</w:t>
      </w:r>
      <w:r>
        <w:rPr>
          <w:rFonts w:ascii="Times New Roman" w:hAnsi="Times New Roman" w:eastAsia="仿宋" w:cs="Times New Roman"/>
          <w:bCs/>
          <w:color w:val="000000" w:themeColor="text1"/>
          <w:sz w:val="28"/>
          <w:szCs w:val="28"/>
        </w:rPr>
        <w:t>国家和省部级项目的有106篇，占61.27%。</w:t>
      </w:r>
      <w:r>
        <w:rPr>
          <w:rFonts w:hint="eastAsia" w:ascii="Times New Roman" w:hAnsi="Times New Roman" w:eastAsia="仿宋" w:cs="Times New Roman"/>
          <w:bCs/>
          <w:color w:val="000000" w:themeColor="text1"/>
          <w:sz w:val="28"/>
          <w:szCs w:val="28"/>
        </w:rPr>
        <w:t>本科生</w:t>
      </w:r>
      <w:r>
        <w:rPr>
          <w:rFonts w:ascii="Times New Roman" w:hAnsi="Times New Roman" w:eastAsia="仿宋" w:cs="Times New Roman"/>
          <w:bCs/>
          <w:color w:val="000000" w:themeColor="text1"/>
          <w:sz w:val="28"/>
          <w:szCs w:val="28"/>
        </w:rPr>
        <w:t>荣获第二届全国大学生生命科学竞赛国家级一等奖1项；首届全国林业创新创业大赛全国总决赛国家级银奖1项；第六届全国大学生农业建筑环境与能源工程相关专业创新创业竞赛国家级三等奖1项；2018年全国大学生英语竞赛（省赛）省级特等奖一项；建行杯第四届中国互联网+大学生创新创业大赛陕西赛区复赛省级金奖1项；第八届全国大学生电子商务“创新、创意及创业”挑战赛陕西赛区省级二等奖2项、三等奖4项；各类校级比赛一二三等奖57项次。2018年获批陕西省大学生校外创新创业基地建设项目1项。</w:t>
      </w:r>
    </w:p>
    <w:p>
      <w:pPr>
        <w:spacing w:line="500" w:lineRule="exact"/>
        <w:ind w:firstLine="560" w:firstLineChars="200"/>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本年度本科生在各类期刊发表论文8人次，其中SCI和中文核心期刊7人次；获得实用新型专利1人次</w:t>
      </w:r>
      <w:r>
        <w:rPr>
          <w:rFonts w:hint="eastAsia" w:ascii="Times New Roman" w:hAnsi="Times New Roman" w:eastAsia="仿宋" w:cs="Times New Roman"/>
          <w:bCs/>
          <w:color w:val="000000" w:themeColor="text1"/>
          <w:sz w:val="28"/>
          <w:szCs w:val="28"/>
        </w:rPr>
        <w:t>。</w:t>
      </w:r>
    </w:p>
    <w:p>
      <w:pPr>
        <w:spacing w:line="500" w:lineRule="exact"/>
        <w:ind w:firstLine="560" w:firstLineChars="200"/>
        <w:rPr>
          <w:rFonts w:ascii="Times New Roman" w:hAnsi="Times New Roman" w:eastAsia="仿宋" w:cs="Times New Roman"/>
          <w:bCs/>
          <w:color w:val="000000" w:themeColor="text1"/>
          <w:sz w:val="28"/>
          <w:szCs w:val="28"/>
        </w:rPr>
      </w:pPr>
      <w:r>
        <w:rPr>
          <w:rFonts w:hint="eastAsia" w:ascii="Times New Roman" w:hAnsi="Times New Roman" w:eastAsia="仿宋" w:cs="Times New Roman"/>
          <w:bCs/>
          <w:color w:val="000000" w:themeColor="text1"/>
          <w:sz w:val="28"/>
          <w:szCs w:val="28"/>
        </w:rPr>
        <w:t>2018年，来自</w:t>
      </w:r>
      <w:r>
        <w:rPr>
          <w:rFonts w:ascii="Times New Roman" w:hAnsi="Times New Roman" w:eastAsia="仿宋" w:cs="Times New Roman"/>
          <w:bCs/>
          <w:color w:val="000000" w:themeColor="text1"/>
          <w:sz w:val="28"/>
          <w:szCs w:val="28"/>
        </w:rPr>
        <w:t>美国密苏里州</w:t>
      </w:r>
      <w:r>
        <w:rPr>
          <w:rFonts w:hint="eastAsia" w:ascii="Times New Roman" w:hAnsi="Times New Roman" w:eastAsia="仿宋" w:cs="Times New Roman"/>
          <w:bCs/>
          <w:color w:val="000000" w:themeColor="text1"/>
          <w:sz w:val="28"/>
          <w:szCs w:val="28"/>
        </w:rPr>
        <w:t>立</w:t>
      </w:r>
      <w:r>
        <w:rPr>
          <w:rFonts w:ascii="Times New Roman" w:hAnsi="Times New Roman" w:eastAsia="仿宋" w:cs="Times New Roman"/>
          <w:bCs/>
          <w:color w:val="000000" w:themeColor="text1"/>
          <w:sz w:val="28"/>
          <w:szCs w:val="28"/>
        </w:rPr>
        <w:t>大学</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佛罗里达大学</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加州大学戴维斯分校</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马里兰大学帕克分校</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美国康奈尔大学</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意大利博洛尼亚大学</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埃德蒙马赫基金会</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新西兰皇家植物与食品研究院</w:t>
      </w:r>
      <w:r>
        <w:rPr>
          <w:rFonts w:hint="eastAsia" w:ascii="Times New Roman" w:hAnsi="Times New Roman" w:eastAsia="仿宋" w:cs="Times New Roman"/>
          <w:bCs/>
          <w:color w:val="000000" w:themeColor="text1"/>
          <w:sz w:val="28"/>
          <w:szCs w:val="28"/>
        </w:rPr>
        <w:t>、</w:t>
      </w:r>
      <w:r>
        <w:rPr>
          <w:rFonts w:ascii="Times New Roman" w:hAnsi="Times New Roman" w:eastAsia="仿宋" w:cs="Times New Roman"/>
          <w:bCs/>
          <w:color w:val="000000" w:themeColor="text1"/>
          <w:sz w:val="28"/>
          <w:szCs w:val="28"/>
        </w:rPr>
        <w:t>加拿大农业部萨斯卡通研究中心</w:t>
      </w:r>
      <w:r>
        <w:rPr>
          <w:rFonts w:hint="eastAsia" w:ascii="Times New Roman" w:hAnsi="Times New Roman" w:eastAsia="仿宋" w:cs="Times New Roman"/>
          <w:bCs/>
          <w:color w:val="000000" w:themeColor="text1"/>
          <w:sz w:val="28"/>
          <w:szCs w:val="28"/>
        </w:rPr>
        <w:t>14位外籍专家来示范中心开展学术交流活动。</w:t>
      </w:r>
      <w:r>
        <w:rPr>
          <w:rFonts w:ascii="Times New Roman" w:hAnsi="Times New Roman" w:eastAsia="仿宋" w:cs="Times New Roman"/>
          <w:bCs/>
          <w:color w:val="000000" w:themeColor="text1"/>
          <w:sz w:val="28"/>
          <w:szCs w:val="28"/>
        </w:rPr>
        <w:t>14名本科生</w:t>
      </w:r>
      <w:r>
        <w:rPr>
          <w:rFonts w:hint="eastAsia" w:ascii="Times New Roman" w:hAnsi="Times New Roman" w:eastAsia="仿宋" w:cs="Times New Roman"/>
          <w:bCs/>
          <w:color w:val="000000" w:themeColor="text1"/>
          <w:sz w:val="28"/>
          <w:szCs w:val="28"/>
        </w:rPr>
        <w:t>分别</w:t>
      </w:r>
      <w:r>
        <w:rPr>
          <w:rFonts w:ascii="Times New Roman" w:hAnsi="Times New Roman" w:eastAsia="仿宋" w:cs="Times New Roman"/>
          <w:bCs/>
          <w:color w:val="000000" w:themeColor="text1"/>
          <w:sz w:val="28"/>
          <w:szCs w:val="28"/>
        </w:rPr>
        <w:t>赴剑桥大学、康奈尔大学、俄克拉荷马州立大学、新西兰林肯大学、日本千叶大学等国际知名学府访学，</w:t>
      </w:r>
      <w:r>
        <w:rPr>
          <w:rFonts w:hint="eastAsia" w:ascii="Times New Roman" w:hAnsi="Times New Roman" w:eastAsia="仿宋" w:cs="Times New Roman"/>
          <w:bCs/>
          <w:color w:val="000000" w:themeColor="text1"/>
          <w:sz w:val="28"/>
          <w:szCs w:val="28"/>
        </w:rPr>
        <w:t>提升学生</w:t>
      </w:r>
      <w:r>
        <w:rPr>
          <w:rFonts w:ascii="Times New Roman" w:hAnsi="Times New Roman" w:eastAsia="仿宋" w:cs="Times New Roman"/>
          <w:bCs/>
          <w:color w:val="000000" w:themeColor="text1"/>
          <w:sz w:val="28"/>
          <w:szCs w:val="28"/>
        </w:rPr>
        <w:t>专业实践能力和国际交流水平。</w:t>
      </w:r>
    </w:p>
    <w:p>
      <w:pPr>
        <w:pStyle w:val="3"/>
        <w:spacing w:before="156" w:beforeLines="50" w:after="156" w:afterLines="50" w:line="500" w:lineRule="exact"/>
        <w:rPr>
          <w:rFonts w:ascii="Times New Roman" w:hAnsi="Times New Roman" w:eastAsia="黑体" w:cs="Times New Roman"/>
          <w:b w:val="0"/>
          <w:color w:val="000000" w:themeColor="text1"/>
        </w:rPr>
      </w:pPr>
      <w:bookmarkStart w:id="3" w:name="_Toc535227404"/>
      <w:r>
        <w:rPr>
          <w:rFonts w:ascii="Times New Roman" w:hAnsi="Times New Roman" w:eastAsia="黑体" w:cs="Times New Roman"/>
          <w:b w:val="0"/>
          <w:color w:val="000000" w:themeColor="text1"/>
        </w:rPr>
        <w:t>二、教学改革与科学研究</w:t>
      </w:r>
      <w:bookmarkEnd w:id="3"/>
    </w:p>
    <w:p>
      <w:pPr>
        <w:pStyle w:val="4"/>
        <w:spacing w:before="62" w:beforeLines="20" w:after="62" w:afterLines="20" w:line="500" w:lineRule="exact"/>
        <w:ind w:firstLine="562" w:firstLineChars="200"/>
        <w:rPr>
          <w:rFonts w:ascii="Times New Roman" w:hAnsi="Times New Roman" w:eastAsia="楷体_GB2312" w:cs="Times New Roman"/>
          <w:color w:val="000000" w:themeColor="text1"/>
          <w:sz w:val="28"/>
          <w:szCs w:val="28"/>
        </w:rPr>
      </w:pPr>
      <w:bookmarkStart w:id="4" w:name="_Toc535227405"/>
      <w:r>
        <w:rPr>
          <w:rFonts w:ascii="Times New Roman" w:hAnsi="Times New Roman" w:eastAsia="楷体_GB2312" w:cs="Times New Roman"/>
          <w:color w:val="000000" w:themeColor="text1"/>
          <w:sz w:val="28"/>
          <w:szCs w:val="28"/>
        </w:rPr>
        <w:t>（一）教学改革</w:t>
      </w:r>
      <w:bookmarkEnd w:id="4"/>
    </w:p>
    <w:p>
      <w:pPr>
        <w:adjustRightInd w:val="0"/>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1</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探索园艺专业卓越人才班培养模式</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继续实施园艺专业卓越人才班，推进创新人才培养模式改革。</w:t>
      </w: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为2015级、2016级、2017级园艺专业人才卓越班共三届115人配备了导师，</w:t>
      </w:r>
      <w:r>
        <w:rPr>
          <w:rFonts w:hint="eastAsia" w:ascii="Times New Roman" w:hAnsi="Times New Roman" w:eastAsia="仿宋" w:cs="Times New Roman"/>
          <w:color w:val="000000" w:themeColor="text1"/>
          <w:sz w:val="28"/>
          <w:szCs w:val="28"/>
        </w:rPr>
        <w:t>中心</w:t>
      </w:r>
      <w:r>
        <w:rPr>
          <w:rFonts w:ascii="Times New Roman" w:hAnsi="Times New Roman" w:eastAsia="仿宋" w:cs="Times New Roman"/>
          <w:color w:val="000000" w:themeColor="text1"/>
          <w:sz w:val="28"/>
          <w:szCs w:val="28"/>
        </w:rPr>
        <w:t>26名博士生导师</w:t>
      </w:r>
      <w:r>
        <w:rPr>
          <w:rFonts w:hint="eastAsia" w:ascii="Times New Roman" w:hAnsi="Times New Roman" w:eastAsia="仿宋" w:cs="Times New Roman"/>
          <w:color w:val="000000" w:themeColor="text1"/>
          <w:sz w:val="28"/>
          <w:szCs w:val="28"/>
        </w:rPr>
        <w:t>担任学生导师</w:t>
      </w:r>
      <w:r>
        <w:rPr>
          <w:rFonts w:ascii="Times New Roman" w:hAnsi="Times New Roman" w:eastAsia="仿宋" w:cs="Times New Roman"/>
          <w:color w:val="000000" w:themeColor="text1"/>
          <w:sz w:val="28"/>
          <w:szCs w:val="28"/>
        </w:rPr>
        <w:t>。卓越班全体同学在自己导师的安排下，于大二上学期全部进入</w:t>
      </w: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开展起相关科研试验。</w:t>
      </w:r>
      <w:r>
        <w:rPr>
          <w:rFonts w:hint="eastAsia" w:ascii="Times New Roman" w:hAnsi="Times New Roman" w:eastAsia="仿宋" w:cs="Times New Roman"/>
          <w:color w:val="000000" w:themeColor="text1"/>
          <w:sz w:val="28"/>
          <w:szCs w:val="28"/>
        </w:rPr>
        <w:t>中心</w:t>
      </w:r>
      <w:r>
        <w:rPr>
          <w:rFonts w:ascii="Times New Roman" w:hAnsi="Times New Roman" w:eastAsia="仿宋" w:cs="Times New Roman"/>
          <w:color w:val="000000" w:themeColor="text1"/>
          <w:sz w:val="28"/>
          <w:szCs w:val="28"/>
        </w:rPr>
        <w:t>利用暑期面向2016级园艺专业人才卓越班开出《园艺植物分子生物学实验》</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外教全英文授课《科技论文写作》两门课程。为营造浓郁的学术氛围，拓展见识，学院专门为2016级园艺专业人才卓越班组织了7场次学术报告活动。2015级园艺专业人才卓越班组建以来，取得良好成效。</w:t>
      </w:r>
      <w:r>
        <w:rPr>
          <w:rFonts w:ascii="Times New Roman" w:hAnsi="Times New Roman" w:eastAsia="仿宋_GB2312" w:cs="Times New Roman"/>
          <w:color w:val="000000" w:themeColor="text1"/>
          <w:sz w:val="28"/>
          <w:szCs w:val="28"/>
        </w:rPr>
        <w:t>2015级园艺专业“卓越人才班”推免研究生26人，占园艺专业推免人数的78.78%。</w:t>
      </w:r>
    </w:p>
    <w:p>
      <w:pPr>
        <w:adjustRightInd w:val="0"/>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2</w:t>
      </w:r>
      <w:r>
        <w:rPr>
          <w:rFonts w:hint="eastAsia" w:ascii="Times New Roman" w:hAnsi="Times New Roman" w:eastAsia="仿宋" w:cs="Times New Roman"/>
          <w:color w:val="000000" w:themeColor="text1"/>
          <w:sz w:val="28"/>
          <w:szCs w:val="28"/>
        </w:rPr>
        <w:t>．编写出版实验</w:t>
      </w:r>
      <w:r>
        <w:rPr>
          <w:rFonts w:ascii="Times New Roman" w:hAnsi="Times New Roman" w:eastAsia="仿宋" w:cs="Times New Roman"/>
          <w:color w:val="000000" w:themeColor="text1"/>
          <w:sz w:val="28"/>
          <w:szCs w:val="28"/>
        </w:rPr>
        <w:t>教材</w:t>
      </w:r>
    </w:p>
    <w:p>
      <w:pPr>
        <w:adjustRightInd w:val="0"/>
        <w:spacing w:line="500" w:lineRule="exact"/>
        <w:ind w:firstLine="560" w:firstLineChars="20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2017至</w:t>
      </w:r>
      <w:r>
        <w:rPr>
          <w:rFonts w:ascii="Times New Roman" w:hAnsi="Times New Roman" w:eastAsia="仿宋" w:cs="Times New Roman"/>
          <w:color w:val="000000" w:themeColor="text1"/>
          <w:sz w:val="28"/>
          <w:szCs w:val="28"/>
        </w:rPr>
        <w:t>2018年度，学院</w:t>
      </w:r>
      <w:r>
        <w:rPr>
          <w:rFonts w:hint="eastAsia" w:ascii="Times New Roman" w:hAnsi="Times New Roman" w:eastAsia="仿宋" w:cs="Times New Roman"/>
          <w:color w:val="000000" w:themeColor="text1"/>
          <w:sz w:val="28"/>
          <w:szCs w:val="28"/>
        </w:rPr>
        <w:t>组织支持示范中心教师</w:t>
      </w:r>
      <w:r>
        <w:rPr>
          <w:rFonts w:ascii="Times New Roman" w:hAnsi="Times New Roman" w:eastAsia="仿宋" w:cs="Times New Roman"/>
          <w:color w:val="000000" w:themeColor="text1"/>
          <w:sz w:val="28"/>
          <w:szCs w:val="28"/>
        </w:rPr>
        <w:t>编写实验教材</w:t>
      </w:r>
      <w:r>
        <w:rPr>
          <w:rFonts w:hint="eastAsia" w:ascii="Times New Roman" w:hAnsi="Times New Roman" w:eastAsia="仿宋" w:cs="Times New Roman"/>
          <w:color w:val="000000" w:themeColor="text1"/>
          <w:sz w:val="28"/>
          <w:szCs w:val="28"/>
        </w:rPr>
        <w:t>12部</w:t>
      </w:r>
      <w:r>
        <w:rPr>
          <w:rFonts w:ascii="Times New Roman" w:hAnsi="Times New Roman" w:eastAsia="仿宋" w:cs="Times New Roman"/>
          <w:color w:val="000000" w:themeColor="text1"/>
          <w:sz w:val="28"/>
          <w:szCs w:val="28"/>
        </w:rPr>
        <w:t>，</w:t>
      </w:r>
      <w:r>
        <w:rPr>
          <w:rFonts w:hint="eastAsia" w:ascii="Times New Roman" w:hAnsi="Times New Roman" w:eastAsia="仿宋" w:cs="Times New Roman"/>
          <w:color w:val="000000" w:themeColor="text1"/>
          <w:sz w:val="28"/>
          <w:szCs w:val="28"/>
        </w:rPr>
        <w:t>出版</w:t>
      </w:r>
      <w:r>
        <w:rPr>
          <w:rFonts w:ascii="Times New Roman" w:hAnsi="Times New Roman" w:eastAsia="仿宋" w:cs="Times New Roman"/>
          <w:color w:val="000000" w:themeColor="text1"/>
          <w:sz w:val="28"/>
          <w:szCs w:val="28"/>
        </w:rPr>
        <w:t>《园艺概论》</w:t>
      </w:r>
      <w:r>
        <w:rPr>
          <w:rFonts w:hint="eastAsia" w:ascii="Times New Roman" w:hAnsi="Times New Roman" w:eastAsia="仿宋" w:cs="Times New Roman"/>
          <w:color w:val="000000" w:themeColor="text1"/>
          <w:sz w:val="28"/>
          <w:szCs w:val="28"/>
        </w:rPr>
        <w:t>1部</w:t>
      </w:r>
      <w:r>
        <w:rPr>
          <w:rFonts w:ascii="Times New Roman" w:hAnsi="Times New Roman" w:eastAsia="仿宋" w:cs="Times New Roman"/>
          <w:color w:val="000000" w:themeColor="text1"/>
          <w:sz w:val="28"/>
          <w:szCs w:val="28"/>
        </w:rPr>
        <w:t>。</w:t>
      </w:r>
    </w:p>
    <w:p>
      <w:pPr>
        <w:adjustRightInd w:val="0"/>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3</w:t>
      </w:r>
      <w:r>
        <w:rPr>
          <w:rFonts w:hint="eastAsia" w:ascii="Times New Roman" w:hAnsi="Times New Roman" w:eastAsia="仿宋" w:cs="Times New Roman"/>
          <w:color w:val="000000" w:themeColor="text1"/>
          <w:sz w:val="28"/>
          <w:szCs w:val="28"/>
        </w:rPr>
        <w:t>．加强</w:t>
      </w:r>
      <w:r>
        <w:rPr>
          <w:rFonts w:ascii="Times New Roman" w:hAnsi="Times New Roman" w:eastAsia="仿宋" w:cs="Times New Roman"/>
          <w:color w:val="000000" w:themeColor="text1"/>
          <w:sz w:val="28"/>
          <w:szCs w:val="28"/>
        </w:rPr>
        <w:t>课程</w:t>
      </w:r>
      <w:r>
        <w:rPr>
          <w:rFonts w:hint="eastAsia" w:ascii="Times New Roman" w:hAnsi="Times New Roman" w:eastAsia="仿宋" w:cs="Times New Roman"/>
          <w:color w:val="000000" w:themeColor="text1"/>
          <w:sz w:val="28"/>
          <w:szCs w:val="28"/>
        </w:rPr>
        <w:t>质量</w:t>
      </w:r>
      <w:r>
        <w:rPr>
          <w:rFonts w:ascii="Times New Roman" w:hAnsi="Times New Roman" w:eastAsia="仿宋" w:cs="Times New Roman"/>
          <w:color w:val="000000" w:themeColor="text1"/>
          <w:sz w:val="28"/>
          <w:szCs w:val="28"/>
        </w:rPr>
        <w:t>建设</w:t>
      </w:r>
    </w:p>
    <w:p>
      <w:pPr>
        <w:adjustRightInd w:val="0"/>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2018年度，</w:t>
      </w:r>
      <w:r>
        <w:rPr>
          <w:rFonts w:hint="eastAsia" w:ascii="Times New Roman" w:hAnsi="Times New Roman" w:eastAsia="仿宋" w:cs="Times New Roman"/>
          <w:color w:val="000000" w:themeColor="text1"/>
          <w:sz w:val="28"/>
          <w:szCs w:val="28"/>
        </w:rPr>
        <w:t>示范中心教师积极推进课程建设。</w:t>
      </w:r>
      <w:r>
        <w:rPr>
          <w:rFonts w:ascii="Times New Roman" w:hAnsi="Times New Roman" w:eastAsia="仿宋" w:cs="Times New Roman"/>
          <w:color w:val="000000" w:themeColor="text1"/>
          <w:sz w:val="28"/>
          <w:szCs w:val="28"/>
        </w:rPr>
        <w:t>获批校级 “课程思政”示范课程《建筑电气》、《花卉保鲜》、《茶学概论》、《园艺作物研究法》、《观赏树木学》</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《园艺植物生物技术》6</w:t>
      </w:r>
      <w:r>
        <w:rPr>
          <w:rFonts w:hint="eastAsia" w:ascii="Times New Roman" w:hAnsi="Times New Roman" w:eastAsia="仿宋" w:cs="Times New Roman"/>
          <w:color w:val="000000" w:themeColor="text1"/>
          <w:sz w:val="28"/>
          <w:szCs w:val="28"/>
        </w:rPr>
        <w:t>门</w:t>
      </w:r>
      <w:r>
        <w:rPr>
          <w:rFonts w:ascii="Times New Roman" w:hAnsi="Times New Roman" w:eastAsia="仿宋" w:cs="Times New Roman"/>
          <w:color w:val="000000" w:themeColor="text1"/>
          <w:sz w:val="28"/>
          <w:szCs w:val="28"/>
        </w:rPr>
        <w:t>；申报2018年陕西高校创新创业教育课程《园艺产品加工学》建设项目</w:t>
      </w:r>
      <w:r>
        <w:rPr>
          <w:rFonts w:hint="eastAsia" w:ascii="Times New Roman" w:hAnsi="Times New Roman" w:eastAsia="仿宋" w:cs="Times New Roman"/>
          <w:color w:val="000000" w:themeColor="text1"/>
          <w:sz w:val="28"/>
          <w:szCs w:val="28"/>
        </w:rPr>
        <w:t>1</w:t>
      </w:r>
      <w:r>
        <w:rPr>
          <w:rFonts w:ascii="Times New Roman" w:hAnsi="Times New Roman" w:eastAsia="仿宋" w:cs="Times New Roman"/>
          <w:color w:val="000000" w:themeColor="text1"/>
          <w:sz w:val="28"/>
          <w:szCs w:val="28"/>
        </w:rPr>
        <w:t>项；申报中华农业科教基金教材建设研究项目2项；获批虚拟仿真实验教学项目2项；开展校级在线课程《设施蔬菜栽培学》、《园艺育种学总论》、《茶学概论》3门；邀请美国密歇根州立大学Steven Van Nocker教授为卓越班学生开设了为期6周的暑期课程《科技论文写作》1门</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双语课程《园艺植物育种学》1门，全英文课程《无土栽培学》、《科技写作》</w:t>
      </w:r>
      <w:r>
        <w:rPr>
          <w:rFonts w:hint="eastAsia" w:ascii="Times New Roman" w:hAnsi="Times New Roman" w:eastAsia="仿宋" w:cs="Times New Roman"/>
          <w:color w:val="000000" w:themeColor="text1"/>
          <w:sz w:val="28"/>
          <w:szCs w:val="28"/>
        </w:rPr>
        <w:t>2</w:t>
      </w:r>
      <w:r>
        <w:rPr>
          <w:rFonts w:ascii="Times New Roman" w:hAnsi="Times New Roman" w:eastAsia="仿宋" w:cs="Times New Roman"/>
          <w:color w:val="000000" w:themeColor="text1"/>
          <w:sz w:val="28"/>
          <w:szCs w:val="28"/>
        </w:rPr>
        <w:t>门。进行了《茶树栽培学》、《茶艺》、《无土栽培学》、《蔬菜育种学》4门课程翻转课堂、研讨式等课堂教学模式改革：，开展了《园艺植物组织培养》、《科技写作》课程考核方式改革。同时，我院邀请客座教授密歇根州立大学Steven教授，给园艺专业大四学生讲授《专业英语》。</w:t>
      </w:r>
      <w:bookmarkStart w:id="5" w:name="_Toc535227406"/>
      <w:r>
        <w:rPr>
          <w:rFonts w:ascii="Times New Roman" w:hAnsi="Times New Roman" w:eastAsia="仿宋" w:cs="Times New Roman"/>
          <w:color w:val="000000" w:themeColor="text1"/>
          <w:sz w:val="28"/>
          <w:szCs w:val="28"/>
        </w:rPr>
        <w:t>2018年《构建特色示范基地，培养园艺学创新创业人才》荣获陕西省教学成果二等奖。</w:t>
      </w:r>
      <w:bookmarkEnd w:id="5"/>
    </w:p>
    <w:p>
      <w:pPr>
        <w:pStyle w:val="4"/>
        <w:spacing w:before="62" w:beforeLines="20" w:after="62" w:afterLines="20" w:line="500" w:lineRule="exact"/>
        <w:ind w:firstLine="562" w:firstLineChars="200"/>
        <w:rPr>
          <w:rFonts w:ascii="Times New Roman" w:hAnsi="Times New Roman" w:eastAsia="楷体_GB2312" w:cs="Times New Roman"/>
          <w:color w:val="000000" w:themeColor="text1"/>
          <w:sz w:val="28"/>
          <w:szCs w:val="28"/>
        </w:rPr>
      </w:pPr>
      <w:bookmarkStart w:id="6" w:name="_Toc535227407"/>
      <w:r>
        <w:rPr>
          <w:rFonts w:ascii="Times New Roman" w:hAnsi="Times New Roman" w:eastAsia="楷体_GB2312" w:cs="Times New Roman"/>
          <w:color w:val="000000" w:themeColor="text1"/>
          <w:sz w:val="28"/>
          <w:szCs w:val="28"/>
        </w:rPr>
        <w:t>（二）科学研究等情况</w:t>
      </w:r>
      <w:bookmarkEnd w:id="6"/>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2018年</w:t>
      </w:r>
      <w:r>
        <w:rPr>
          <w:rFonts w:hint="eastAsia" w:ascii="Times New Roman" w:hAnsi="Times New Roman" w:eastAsia="仿宋" w:cs="Times New Roman"/>
          <w:color w:val="000000" w:themeColor="text1"/>
          <w:sz w:val="28"/>
          <w:szCs w:val="28"/>
        </w:rPr>
        <w:t>中心教师获批</w:t>
      </w:r>
      <w:r>
        <w:rPr>
          <w:rFonts w:ascii="Times New Roman" w:hAnsi="Times New Roman" w:eastAsia="仿宋" w:cs="Times New Roman"/>
          <w:color w:val="000000" w:themeColor="text1"/>
          <w:sz w:val="28"/>
          <w:szCs w:val="28"/>
        </w:rPr>
        <w:t>各类在研科研推广项目160项，到位经费7678.685万元，其中科研经费3539.02万元，推广经费4139.6650万元。发表学术论文253篇，其中SCI收录论文166篇，高被引论文在原来6篇基础上今年又增加了5篇，影响因子5以上14篇，其中10以上2篇；ＥＩ收录论文11篇。正式出版专（编）1部，参编1部。</w:t>
      </w:r>
    </w:p>
    <w:p>
      <w:pPr>
        <w:spacing w:line="500" w:lineRule="exact"/>
        <w:ind w:firstLine="560" w:firstLineChars="20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中心</w:t>
      </w:r>
      <w:r>
        <w:rPr>
          <w:rFonts w:ascii="Times New Roman" w:hAnsi="Times New Roman" w:eastAsia="仿宋" w:cs="Times New Roman"/>
          <w:color w:val="000000" w:themeColor="text1"/>
          <w:sz w:val="28"/>
          <w:szCs w:val="28"/>
        </w:rPr>
        <w:t>成功举办第五届中国园艺学会青年分会学术研讨会、第二届世界果汁暨饮品学术研讨会、全国茶叶机械化生产装备技术培训会、新型温室结构与节能技术观摩研讨会等。邀请德国、美国、新西兰、意大利等外籍专家和邓秀新、黄三文、陈学森、邓子牛、郝玉金、刘继红、徐沛等国内外专家做学术报告35次。</w:t>
      </w:r>
    </w:p>
    <w:p>
      <w:pPr>
        <w:spacing w:line="500" w:lineRule="exact"/>
        <w:ind w:firstLine="560" w:firstLineChars="20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中心</w:t>
      </w:r>
      <w:r>
        <w:rPr>
          <w:rFonts w:ascii="Times New Roman" w:hAnsi="Times New Roman" w:eastAsia="仿宋" w:cs="Times New Roman"/>
          <w:color w:val="000000" w:themeColor="text1"/>
          <w:sz w:val="28"/>
          <w:szCs w:val="28"/>
        </w:rPr>
        <w:t>教职工参加国内外学术活动165人次，做大会报告57人次，参加挪威、美国、法国、土耳其、新西兰、日本、巴基斯坦等国际学术活动40余人次。</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2018年</w:t>
      </w: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继续抓好原有试验示范站（基地）建设，新建蒲城酥梨试验示范站。</w:t>
      </w:r>
      <w:r>
        <w:rPr>
          <w:rFonts w:hint="eastAsia" w:ascii="Times New Roman" w:hAnsi="Times New Roman" w:eastAsia="仿宋" w:cs="Times New Roman"/>
          <w:color w:val="000000" w:themeColor="text1"/>
          <w:sz w:val="28"/>
          <w:szCs w:val="28"/>
        </w:rPr>
        <w:t>中心</w:t>
      </w:r>
      <w:r>
        <w:rPr>
          <w:rFonts w:ascii="Times New Roman" w:hAnsi="Times New Roman" w:eastAsia="仿宋" w:cs="Times New Roman"/>
          <w:color w:val="000000" w:themeColor="text1"/>
          <w:sz w:val="28"/>
          <w:szCs w:val="28"/>
        </w:rPr>
        <w:t>9个试验站被省科技厅认定为省级县域科技创新试验示范站。继续积极推动与地方政府共建试验站、基地及推广站，先后与贵州果树科学研究所签订合作共建贵州山地果树综合试验站，与江苏丰县合作共建果品产业技术推广站，与吴堡县人民政府联合共建吴堡山地苹果试验示范基地正式揭牌。</w:t>
      </w:r>
      <w:r>
        <w:rPr>
          <w:rFonts w:hint="eastAsia" w:ascii="Times New Roman" w:hAnsi="Times New Roman" w:eastAsia="仿宋" w:cs="Times New Roman"/>
          <w:color w:val="000000" w:themeColor="text1"/>
          <w:sz w:val="28"/>
          <w:szCs w:val="28"/>
        </w:rPr>
        <w:t>示范中心示范引领</w:t>
      </w:r>
      <w:r>
        <w:rPr>
          <w:rFonts w:ascii="Times New Roman" w:hAnsi="Times New Roman" w:eastAsia="仿宋" w:cs="Times New Roman"/>
          <w:color w:val="000000" w:themeColor="text1"/>
          <w:sz w:val="28"/>
          <w:szCs w:val="28"/>
        </w:rPr>
        <w:t>服务国家“一带一路”战略，积极投身“一带一路”示范基地建设。在吉尔吉斯斯坦楚河州开展了苹果等农作物的农业科技示范园建设工作。合作共建“中吉现代农业示范园”正式揭牌成立。</w:t>
      </w:r>
    </w:p>
    <w:p>
      <w:pPr>
        <w:pStyle w:val="3"/>
        <w:spacing w:before="156" w:beforeLines="50" w:after="156" w:afterLines="50" w:line="500" w:lineRule="exact"/>
        <w:rPr>
          <w:rFonts w:ascii="Times New Roman" w:hAnsi="Times New Roman" w:eastAsia="黑体" w:cs="Times New Roman"/>
          <w:b w:val="0"/>
          <w:color w:val="000000" w:themeColor="text1"/>
        </w:rPr>
      </w:pPr>
      <w:bookmarkStart w:id="7" w:name="_Toc535227408"/>
      <w:r>
        <w:rPr>
          <w:rFonts w:ascii="Times New Roman" w:hAnsi="Times New Roman" w:eastAsia="黑体" w:cs="Times New Roman"/>
          <w:b w:val="0"/>
          <w:color w:val="000000" w:themeColor="text1"/>
        </w:rPr>
        <w:t>三、人才队伍建设</w:t>
      </w:r>
      <w:bookmarkEnd w:id="7"/>
    </w:p>
    <w:p>
      <w:pPr>
        <w:pStyle w:val="4"/>
        <w:spacing w:before="62" w:beforeLines="20" w:after="62" w:afterLines="20" w:line="500" w:lineRule="exact"/>
        <w:ind w:firstLine="562" w:firstLineChars="200"/>
        <w:rPr>
          <w:rFonts w:ascii="Times New Roman" w:hAnsi="Times New Roman" w:eastAsia="楷体_GB2312" w:cs="Times New Roman"/>
          <w:color w:val="000000" w:themeColor="text1"/>
          <w:sz w:val="28"/>
          <w:szCs w:val="28"/>
        </w:rPr>
      </w:pPr>
      <w:bookmarkStart w:id="8" w:name="_Toc535227409"/>
      <w:r>
        <w:rPr>
          <w:rFonts w:ascii="Times New Roman" w:hAnsi="Times New Roman" w:eastAsia="楷体_GB2312" w:cs="Times New Roman"/>
          <w:color w:val="000000" w:themeColor="text1"/>
          <w:sz w:val="28"/>
          <w:szCs w:val="28"/>
        </w:rPr>
        <w:t>（一）队伍建设基本情况</w:t>
      </w:r>
      <w:bookmarkEnd w:id="8"/>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示范中心现有科教人员100人，获得博士学位的有74人，占科教人员总数的74%。其中教授、研究员37人、副教授、副研究员39人，研究生指导教师55人。其中，国家级教学名师1人，国家“万人计划”教学名师1人，国家“千人计划”青年人才2人，国家自然科学基金优秀青年基金入选者1人，国家级教学团队1个。国家现代农业产业技术体系岗位专家各9人，综合试验站站长7人。教育部“跨世纪优秀人才计划”1人，教育部“新世纪优秀人才支持计划”入选者5人，农业部“农业科研杰出人才创新团队”1个。陕西省教学名师1人，陕西省三秦人才2人，陕西省“三秦学者”岗位特聘教授1人,陕西省百人计划2人，陕西省重点科技创新团队1个，陕西省青年科技新星3人。</w:t>
      </w:r>
    </w:p>
    <w:p>
      <w:pPr>
        <w:pStyle w:val="4"/>
        <w:spacing w:before="62" w:beforeLines="20" w:after="62" w:afterLines="20" w:line="500" w:lineRule="exact"/>
        <w:ind w:firstLine="562" w:firstLineChars="200"/>
        <w:rPr>
          <w:rFonts w:ascii="Times New Roman" w:hAnsi="Times New Roman" w:eastAsia="楷体_GB2312" w:cs="Times New Roman"/>
          <w:color w:val="000000" w:themeColor="text1"/>
          <w:sz w:val="28"/>
          <w:szCs w:val="28"/>
        </w:rPr>
      </w:pPr>
      <w:bookmarkStart w:id="9" w:name="_Toc535227410"/>
      <w:r>
        <w:rPr>
          <w:rFonts w:ascii="Times New Roman" w:hAnsi="Times New Roman" w:eastAsia="楷体_GB2312" w:cs="Times New Roman"/>
          <w:color w:val="000000" w:themeColor="text1"/>
          <w:sz w:val="28"/>
          <w:szCs w:val="28"/>
        </w:rPr>
        <w:t>（二）队伍建设的举措与取得的成绩等</w:t>
      </w:r>
      <w:bookmarkEnd w:id="9"/>
    </w:p>
    <w:p>
      <w:pPr>
        <w:pStyle w:val="21"/>
        <w:widowControl/>
        <w:spacing w:before="0" w:beforeAutospacing="0" w:after="0" w:afterAutospacing="0" w:line="500" w:lineRule="exact"/>
        <w:ind w:firstLine="560" w:firstLineChars="200"/>
        <w:rPr>
          <w:rFonts w:eastAsia="仿宋"/>
          <w:color w:val="000000" w:themeColor="text1"/>
          <w:kern w:val="2"/>
          <w:sz w:val="28"/>
          <w:szCs w:val="28"/>
        </w:rPr>
      </w:pPr>
      <w:r>
        <w:rPr>
          <w:rFonts w:hint="eastAsia" w:eastAsia="仿宋"/>
          <w:color w:val="000000" w:themeColor="text1"/>
          <w:kern w:val="2"/>
          <w:sz w:val="28"/>
          <w:szCs w:val="28"/>
        </w:rPr>
        <w:t>示范中心</w:t>
      </w:r>
      <w:r>
        <w:rPr>
          <w:rFonts w:eastAsia="仿宋"/>
          <w:color w:val="000000" w:themeColor="text1"/>
          <w:kern w:val="2"/>
          <w:sz w:val="28"/>
          <w:szCs w:val="28"/>
        </w:rPr>
        <w:t>按照“高端求才、海外聚才、校际引才”的工作思路，来校工作11人，其中教授1人，副教授1人，聘请讲座教授1人，客座教授8人；袁黎博士入选“青年千人”计划</w:t>
      </w:r>
      <w:r>
        <w:rPr>
          <w:rFonts w:hint="eastAsia" w:eastAsia="仿宋"/>
          <w:color w:val="000000" w:themeColor="text1"/>
          <w:kern w:val="2"/>
          <w:sz w:val="28"/>
          <w:szCs w:val="28"/>
        </w:rPr>
        <w:t>，</w:t>
      </w:r>
      <w:r>
        <w:rPr>
          <w:rFonts w:eastAsia="仿宋"/>
          <w:color w:val="000000" w:themeColor="text1"/>
          <w:sz w:val="28"/>
          <w:szCs w:val="28"/>
        </w:rPr>
        <w:t>管清美教授获批国家自然科学基金优秀青年基金及陕西省百人计划，李征获学校“卓越新星”培育计划资助；马锋旺教授获批“三秦学者”特聘教授；选派6名科教人员出国开展合作研究；2018年在站博士后共计36人，出站3人。2人获中国博士后科学基金特别资助，2人获中国博士后科学基金，11人获陕西省博士后科研配套资助。</w:t>
      </w:r>
    </w:p>
    <w:p>
      <w:pPr>
        <w:pStyle w:val="3"/>
        <w:spacing w:before="156" w:beforeLines="50" w:after="156" w:afterLines="50" w:line="500" w:lineRule="exact"/>
        <w:rPr>
          <w:rFonts w:ascii="Times New Roman" w:hAnsi="Times New Roman" w:eastAsia="黑体" w:cs="Times New Roman"/>
          <w:b w:val="0"/>
          <w:color w:val="000000" w:themeColor="text1"/>
        </w:rPr>
      </w:pPr>
      <w:bookmarkStart w:id="10" w:name="_Toc535227411"/>
      <w:r>
        <w:rPr>
          <w:rFonts w:ascii="Times New Roman" w:hAnsi="Times New Roman" w:eastAsia="黑体" w:cs="Times New Roman"/>
          <w:b w:val="0"/>
          <w:color w:val="000000" w:themeColor="text1"/>
        </w:rPr>
        <w:t>四、信息化建设、开放运行和示范辐射</w:t>
      </w:r>
      <w:bookmarkEnd w:id="10"/>
    </w:p>
    <w:p>
      <w:pPr>
        <w:pStyle w:val="4"/>
        <w:spacing w:before="0" w:after="0" w:line="500" w:lineRule="exact"/>
        <w:ind w:firstLine="562" w:firstLineChars="200"/>
        <w:rPr>
          <w:rFonts w:ascii="Times New Roman" w:hAnsi="Times New Roman" w:eastAsia="楷体_GB2312" w:cs="Times New Roman"/>
          <w:color w:val="000000" w:themeColor="text1"/>
          <w:w w:val="90"/>
          <w:sz w:val="28"/>
          <w:szCs w:val="28"/>
        </w:rPr>
      </w:pPr>
      <w:bookmarkStart w:id="11" w:name="_Toc535227412"/>
      <w:r>
        <w:rPr>
          <w:rFonts w:ascii="Times New Roman" w:hAnsi="Times New Roman" w:eastAsia="楷体_GB2312" w:cs="Times New Roman"/>
          <w:color w:val="000000" w:themeColor="text1"/>
          <w:sz w:val="28"/>
          <w:szCs w:val="28"/>
        </w:rPr>
        <w:t>（一）</w:t>
      </w:r>
      <w:r>
        <w:rPr>
          <w:rFonts w:ascii="Times New Roman" w:hAnsi="Times New Roman" w:eastAsia="楷体_GB2312" w:cs="Times New Roman"/>
          <w:color w:val="000000" w:themeColor="text1"/>
          <w:w w:val="90"/>
          <w:sz w:val="28"/>
          <w:szCs w:val="28"/>
        </w:rPr>
        <w:t>信息化资源、平台建设，人员信息化能力提升等情况</w:t>
      </w:r>
      <w:bookmarkEnd w:id="11"/>
    </w:p>
    <w:p>
      <w:pPr>
        <w:rPr>
          <w:rFonts w:ascii="Times New Roman" w:hAnsi="Times New Roman" w:eastAsia="楷体_GB2312" w:cs="Times New Roman"/>
          <w:b/>
          <w:bCs/>
          <w:color w:val="000000" w:themeColor="text1"/>
          <w:w w:val="90"/>
          <w:sz w:val="28"/>
          <w:szCs w:val="28"/>
        </w:rPr>
      </w:pPr>
      <w:r>
        <w:rPr>
          <w:rFonts w:hint="eastAsia" w:ascii="Times New Roman" w:hAnsi="Times New Roman" w:eastAsia="楷体_GB2312" w:cs="Times New Roman"/>
          <w:b/>
          <w:bCs/>
          <w:color w:val="000000" w:themeColor="text1"/>
          <w:w w:val="90"/>
          <w:sz w:val="28"/>
          <w:szCs w:val="28"/>
        </w:rPr>
        <w:t>1.信息化平台建设</w:t>
      </w:r>
    </w:p>
    <w:p>
      <w:pPr>
        <w:adjustRightInd w:val="0"/>
        <w:spacing w:line="500" w:lineRule="exact"/>
        <w:ind w:firstLine="64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示范中心拥有教学实验室面积约6</w:t>
      </w:r>
      <w:r>
        <w:rPr>
          <w:rFonts w:hint="eastAsia" w:ascii="Times New Roman" w:hAnsi="Times New Roman" w:eastAsia="仿宋" w:cs="Times New Roman"/>
          <w:color w:val="000000" w:themeColor="text1"/>
          <w:sz w:val="28"/>
          <w:szCs w:val="28"/>
          <w:lang w:val="en-US" w:eastAsia="zh-CN"/>
        </w:rPr>
        <w:t>8</w:t>
      </w:r>
      <w:r>
        <w:rPr>
          <w:rFonts w:ascii="Times New Roman" w:hAnsi="Times New Roman" w:eastAsia="仿宋" w:cs="Times New Roman"/>
          <w:color w:val="000000" w:themeColor="text1"/>
          <w:sz w:val="28"/>
          <w:szCs w:val="28"/>
        </w:rPr>
        <w:t>00m</w:t>
      </w:r>
      <w:r>
        <w:rPr>
          <w:rFonts w:ascii="Times New Roman" w:hAnsi="Times New Roman" w:eastAsia="仿宋" w:cs="Times New Roman"/>
          <w:color w:val="000000" w:themeColor="text1"/>
          <w:sz w:val="28"/>
          <w:szCs w:val="28"/>
          <w:vertAlign w:val="superscript"/>
        </w:rPr>
        <w:t>2</w:t>
      </w:r>
      <w:r>
        <w:rPr>
          <w:rFonts w:ascii="Times New Roman" w:hAnsi="Times New Roman" w:eastAsia="仿宋" w:cs="Times New Roman"/>
          <w:color w:val="000000" w:themeColor="text1"/>
          <w:sz w:val="28"/>
          <w:szCs w:val="28"/>
        </w:rPr>
        <w:t>，其中教学实验室包括“园艺植物栽培与设施园艺实验室”、“园艺植物育种与生物技术实验室”、“园艺产品采后处理实验室”等；科学研究中心实验室包括“色谱质谱室”、“蛋白质分析室”、“核酸与生物信息学室”、“显微成像室”、“细胞学实验室”、“园艺植物生长及生理实验室”、“设施环境实验室”、“植物组织培养室”和“公共实验室”形成“8+1”的结构模式，以大型科学仪器设备等科技基础条件资源为重要依托,统筹布局,整合资源,优化配置,建设与学校大型仪器联网、开放共享的公共平台。仪器设备5305台套，价值7253.16万元，仪器完好率为98%。主要承担了</w:t>
      </w:r>
      <w:r>
        <w:rPr>
          <w:rFonts w:hint="eastAsia" w:ascii="Times New Roman" w:hAnsi="Times New Roman" w:eastAsia="仿宋" w:cs="Times New Roman"/>
          <w:color w:val="000000" w:themeColor="text1"/>
          <w:sz w:val="28"/>
          <w:szCs w:val="28"/>
        </w:rPr>
        <w:t>本校</w:t>
      </w:r>
      <w:r>
        <w:rPr>
          <w:rFonts w:ascii="Times New Roman" w:hAnsi="Times New Roman" w:eastAsia="仿宋" w:cs="Times New Roman"/>
          <w:color w:val="000000" w:themeColor="text1"/>
          <w:sz w:val="28"/>
          <w:szCs w:val="28"/>
        </w:rPr>
        <w:t>园艺、设施</w:t>
      </w:r>
      <w:r>
        <w:rPr>
          <w:rFonts w:hint="eastAsia" w:ascii="Times New Roman" w:hAnsi="Times New Roman" w:eastAsia="仿宋" w:cs="Times New Roman"/>
          <w:color w:val="000000" w:themeColor="text1"/>
          <w:sz w:val="28"/>
          <w:szCs w:val="28"/>
        </w:rPr>
        <w:t>、植保</w:t>
      </w:r>
      <w:r>
        <w:rPr>
          <w:rFonts w:ascii="Times New Roman" w:hAnsi="Times New Roman" w:eastAsia="仿宋" w:cs="Times New Roman"/>
          <w:color w:val="000000" w:themeColor="text1"/>
          <w:sz w:val="28"/>
          <w:szCs w:val="28"/>
        </w:rPr>
        <w:t>等专业的实验教学和实习任务。</w:t>
      </w:r>
    </w:p>
    <w:p>
      <w:pPr>
        <w:adjustRightInd w:val="0"/>
        <w:spacing w:line="500" w:lineRule="exact"/>
        <w:ind w:firstLine="64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示范中心由教学实验中心、园艺科学研究中心和试验示范基地构成。</w:t>
      </w:r>
    </w:p>
    <w:p>
      <w:pPr>
        <w:adjustRightInd w:val="0"/>
        <w:snapToGrid w:val="0"/>
        <w:spacing w:line="360" w:lineRule="auto"/>
        <w:rPr>
          <w:rFonts w:ascii="Times New Roman" w:hAnsi="Times New Roman" w:eastAsia="仿宋_GB2312" w:cs="Times New Roman"/>
          <w:color w:val="000000" w:themeColor="text1"/>
          <w:sz w:val="32"/>
          <w:szCs w:val="32"/>
        </w:rPr>
      </w:pPr>
    </w:p>
    <w:p>
      <w:pPr>
        <w:adjustRightInd w:val="0"/>
        <w:snapToGrid w:val="0"/>
        <w:spacing w:line="360" w:lineRule="auto"/>
        <w:rPr>
          <w:rFonts w:ascii="Times New Roman" w:hAnsi="Times New Roman" w:eastAsia="仿宋_GB2312" w:cs="Times New Roman"/>
          <w:color w:val="000000" w:themeColor="text1"/>
          <w:sz w:val="32"/>
          <w:szCs w:val="32"/>
        </w:rPr>
      </w:pPr>
    </w:p>
    <w:p>
      <w:pPr>
        <w:adjustRightInd w:val="0"/>
        <w:snapToGrid w:val="0"/>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pict>
          <v:roundrect id="AutoShape 3" o:spid="_x0000_s1026" o:spt="2" style="position:absolute;left:0pt;margin-left:36pt;margin-top:16.75pt;height:45pt;width:367.5pt;z-index:251658240;mso-width-relative:page;mso-height-relative:page;" fillcolor="#4F81BD"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">
            <v:path/>
            <v:fill on="t" focussize="0,0"/>
            <v:stroke weight="3pt" color="#F2F2F2"/>
            <v:imagedata o:title=""/>
            <o:lock v:ext="edit"/>
            <v:shadow on="t" color="#243F60" opacity="32768f" offset="1pt,2pt"/>
            <v:textbox>
              <w:txbxContent>
                <w:p>
                  <w:pPr>
                    <w:jc w:val="center"/>
                    <w:rPr>
                      <w:rFonts w:ascii="黑体" w:hAnsi="黑体" w:eastAsia="黑体"/>
                      <w:b/>
                      <w:color w:val="EEECE1" w:themeColor="background2"/>
                      <w:sz w:val="44"/>
                      <w:szCs w:val="44"/>
                    </w:rPr>
                  </w:pPr>
                  <w:r>
                    <w:rPr>
                      <w:rFonts w:hint="eastAsia" w:ascii="黑体" w:hAnsi="黑体" w:eastAsia="黑体"/>
                      <w:b/>
                      <w:color w:val="EEECE1" w:themeColor="background2"/>
                      <w:sz w:val="44"/>
                      <w:szCs w:val="44"/>
                    </w:rPr>
                    <w:t>园艺实验教学示范中心</w:t>
                  </w:r>
                </w:p>
              </w:txbxContent>
            </v:textbox>
          </v:roundrect>
        </w:pict>
      </w:r>
    </w:p>
    <w:p>
      <w:pPr>
        <w:adjustRightInd w:val="0"/>
        <w:snapToGrid w:val="0"/>
        <w:spacing w:line="360" w:lineRule="auto"/>
        <w:ind w:firstLine="640"/>
        <w:rPr>
          <w:rFonts w:ascii="Times New Roman" w:hAnsi="Times New Roman" w:eastAsia="仿宋_GB2312" w:cs="Times New Roman"/>
          <w:color w:val="000000" w:themeColor="text1"/>
          <w:sz w:val="32"/>
          <w:szCs w:val="32"/>
        </w:rPr>
      </w:pPr>
    </w:p>
    <w:p>
      <w:pPr>
        <w:adjustRightInd w:val="0"/>
        <w:snapToGrid w:val="0"/>
        <w:spacing w:line="360" w:lineRule="auto"/>
        <w:ind w:firstLine="64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drawing>
          <wp:inline distT="0" distB="0" distL="0" distR="0">
            <wp:extent cx="4705350" cy="2028825"/>
            <wp:effectExtent l="38100" t="0" r="0" b="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pPr>
        <w:adjustRightInd w:val="0"/>
        <w:snapToGrid w:val="0"/>
        <w:spacing w:line="360" w:lineRule="auto"/>
        <w:ind w:firstLine="640"/>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园艺实验教学示范中心组成</w:t>
      </w:r>
    </w:p>
    <w:p>
      <w:pPr>
        <w:spacing w:line="500" w:lineRule="exact"/>
        <w:ind w:firstLine="560" w:firstLineChars="200"/>
        <w:jc w:val="lef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2018年教学实验中心承担了园艺、设施、植保等专业的本科实验教学任务，完成了38门课程的实验教学工作，开设实验项目数172个。本年度由中心实验技术人员主讲，面向本科生开设32学时的《仪器操作技能》和面向研究生开设32学时的《精密仪器操作技术》两门独立实验课程，选修学生达到了239人。</w:t>
      </w:r>
    </w:p>
    <w:p>
      <w:pPr>
        <w:widowControl/>
        <w:spacing w:line="500" w:lineRule="exact"/>
        <w:ind w:firstLine="48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2018年完成了</w:t>
      </w: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实验室安全网络考试题库建设，安全教育考试试题内容涵盖实验室通识教育、水电安全、试剂及危化品使用、废弃物回收处理及我院实验室相关管理制度等。在线考试系统设置有课后练习、强化训练、模拟考试、正式考试等模块。首次对本科生开设了实验室安全警示教育网络考试，考试成绩在90分以上者，可以获得进入</w:t>
      </w: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开放实验室准入证。通过安全培训学习，有98%的学生获得了实验室准入证。本年度中心完成了学校下达的本科教学基本状态数据信息的采集、核对和填报工作，以及实验室信息统计工作。制作各种教学实验宣传板5个，实验室管理制度、安全警示牌8个，按照学校实验室安全要求，各项管理制度、操作规程、安全警告标示等宣传展板全部上墙。教学实验室管理规范，制度健全。</w:t>
      </w:r>
    </w:p>
    <w:p>
      <w:pPr>
        <w:spacing w:line="500" w:lineRule="exact"/>
        <w:ind w:firstLine="465"/>
        <w:jc w:val="lef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为方便师生随时快捷查询仪器设备和试剂的使用管理情况，完成碎片式学习过程，中心充分利用二维码技术的优势和特点，完成了仪器设备及试剂二维码信息识别系统的第一期建设</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仪器设备及试剂信息管理系统，目前已经上线运行。该系统提供电脑端和手机端浏览。手机端需扫描仪器或试剂的二维码，电脑端需在电脑或IPAD输入网址</w:t>
      </w:r>
      <w:r>
        <w:fldChar w:fldCharType="begin"/>
      </w:r>
      <w:r>
        <w:instrText xml:space="preserve"> HYPERLINK "https://yykx.nwafu.edu.cn" </w:instrText>
      </w:r>
      <w:r>
        <w:fldChar w:fldCharType="separate"/>
      </w:r>
      <w:r>
        <w:rPr>
          <w:rStyle w:val="26"/>
          <w:rFonts w:ascii="Times New Roman" w:hAnsi="Times New Roman" w:cs="Times New Roman"/>
          <w:color w:val="000000" w:themeColor="text1"/>
          <w:sz w:val="28"/>
          <w:szCs w:val="28"/>
        </w:rPr>
        <w:t>https://yykx.nwafu.edu.cn</w:t>
      </w:r>
      <w:r>
        <w:rPr>
          <w:rStyle w:val="26"/>
          <w:rFonts w:ascii="Times New Roman" w:hAnsi="Times New Roman" w:cs="Times New Roman"/>
          <w:color w:val="000000" w:themeColor="text1"/>
          <w:sz w:val="28"/>
          <w:szCs w:val="28"/>
        </w:rPr>
        <w:fldChar w:fldCharType="end"/>
      </w:r>
      <w:r>
        <w:rPr>
          <w:rFonts w:ascii="Times New Roman" w:hAnsi="Times New Roman" w:eastAsia="仿宋" w:cs="Times New Roman"/>
          <w:color w:val="000000" w:themeColor="text1"/>
          <w:sz w:val="28"/>
          <w:szCs w:val="28"/>
        </w:rPr>
        <w:t>，再输入学号或教工号即可登录，提供快速搜索功能。仪器设备包含了仪器品牌型号、配置、功能、操作步骤、注意事项、实验等内容，通过文字版、图文版、视频等形式，目前已完成60台（套）设备信息管理，为师生针对性地提供规范性技术服务；试剂是按照GB/T 16483、GB/T 17519编制化学品安全技术说明书（msds），包括成分、危险性、急救措施、消防措施、泄漏应急处理等16部分内容，收集了2797种试剂相关信息。中心将条码解释系统应用于仪器设备及试剂的科学、规范管理，为搭建安全高效的实验室开放平台管理进行了有益的尝试。</w:t>
      </w:r>
    </w:p>
    <w:p>
      <w:pPr>
        <w:widowControl/>
        <w:spacing w:line="500" w:lineRule="exact"/>
        <w:ind w:firstLine="48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为了增强学生安全意识、传播安全知识、训练安全技能，确保实验者安全顺利地进行实验，为营造安全实验室环境提供有力保障，在校内首次设立研究生必修课程《实验室安全技术》课程，课程编号：6033002，总学时为16，学分为1。</w:t>
      </w:r>
    </w:p>
    <w:p>
      <w:pPr>
        <w:widowControl/>
        <w:spacing w:line="500" w:lineRule="exact"/>
        <w:ind w:firstLine="48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依托自有基地（16个）和签约企业基地（21个），校地联合育人，拓展学生知识面，增强学生实践动手能力，开展了新生研讨课、育种实习、管理实习、调查实习、综合实习、栽培实习等各类实习，以及部分学科竞赛约24门（项）次，合计参与学生约1483人次。</w:t>
      </w:r>
    </w:p>
    <w:p>
      <w:pPr>
        <w:spacing w:line="500" w:lineRule="exact"/>
        <w:ind w:firstLine="562" w:firstLineChars="200"/>
        <w:rPr>
          <w:rFonts w:ascii="Times New Roman" w:hAnsi="Times New Roman" w:eastAsia="仿宋" w:cs="Times New Roman"/>
          <w:b/>
          <w:color w:val="000000" w:themeColor="text1"/>
          <w:sz w:val="28"/>
          <w:szCs w:val="28"/>
        </w:rPr>
      </w:pPr>
      <w:r>
        <w:rPr>
          <w:rFonts w:hint="eastAsia" w:ascii="Times New Roman" w:hAnsi="Times New Roman" w:eastAsia="仿宋" w:cs="Times New Roman"/>
          <w:b/>
          <w:color w:val="000000" w:themeColor="text1"/>
          <w:sz w:val="28"/>
          <w:szCs w:val="28"/>
        </w:rPr>
        <w:t>2.</w:t>
      </w:r>
      <w:r>
        <w:rPr>
          <w:rFonts w:ascii="Times New Roman" w:hAnsi="Times New Roman" w:eastAsia="仿宋" w:cs="Times New Roman"/>
          <w:b/>
          <w:color w:val="000000" w:themeColor="text1"/>
          <w:sz w:val="28"/>
          <w:szCs w:val="28"/>
        </w:rPr>
        <w:t>信息化资源</w:t>
      </w:r>
      <w:r>
        <w:rPr>
          <w:rFonts w:hint="eastAsia" w:ascii="Times New Roman" w:hAnsi="Times New Roman" w:eastAsia="仿宋" w:cs="Times New Roman"/>
          <w:b/>
          <w:color w:val="000000" w:themeColor="text1"/>
          <w:sz w:val="28"/>
          <w:szCs w:val="28"/>
        </w:rPr>
        <w:t>建设</w:t>
      </w:r>
    </w:p>
    <w:p>
      <w:pPr>
        <w:spacing w:line="500" w:lineRule="exact"/>
        <w:ind w:firstLine="560" w:firstLineChars="200"/>
        <w:rPr>
          <w:rFonts w:ascii="Times New Roman" w:hAnsi="Times New Roman" w:eastAsia="仿宋" w:cs="Times New Roman"/>
          <w:b/>
          <w:color w:val="000000" w:themeColor="text1"/>
          <w:sz w:val="28"/>
          <w:szCs w:val="28"/>
        </w:rPr>
      </w:pPr>
      <w:r>
        <w:rPr>
          <w:rFonts w:ascii="Times New Roman" w:hAnsi="Times New Roman" w:eastAsia="仿宋" w:cs="Times New Roman"/>
          <w:color w:val="000000" w:themeColor="text1"/>
          <w:sz w:val="28"/>
          <w:szCs w:val="28"/>
        </w:rPr>
        <w:t>2014年11月建成并验收园艺实验教学示范中心网站。本网站通过“中心概况”、“中心团队”、“实验条件”、“实验教学”、“管理平台”、“网络资源”和“科技创新”等七个方面建成网络化实验教学和实验室管理信息平台，同时也向外界提供了一个了解示范中心的窗口，网站中提供的丰富的网络实验教学资源为实验教学活动提供了充分的保障。</w:t>
      </w:r>
    </w:p>
    <w:p>
      <w:pPr>
        <w:adjustRightInd w:val="0"/>
        <w:spacing w:line="500" w:lineRule="exact"/>
        <w:ind w:firstLine="64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网站中嵌入了“开放实验预约系统”。在本预约系统中，申请进入实验室的人员只要通过网上预约系统进行相应的预约操作，经由相关人员在线审核批准后，即可按预约时间进入实验室开展实验工作。这一系统的开发与实现，极大的方便了本科生、研究生和科研人员进入开放实验室，提高了实验室的利用率，进一步实现了实验室管理的网络化、自动化和无纸化的智能管理。</w:t>
      </w:r>
    </w:p>
    <w:p>
      <w:pPr>
        <w:adjustRightInd w:val="0"/>
        <w:spacing w:line="500" w:lineRule="exact"/>
        <w:ind w:firstLine="64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园艺科学研究中心在各大型仪器实验室、园艺组织培养室、公共实验室安装了监控系统，实时监控各实验室的运行情况，方便实验室管理人员及时发现实验室中仪器的运行情况，掌握学生在实验室的各种突发状况，进一步提高了实验室的安全管理水平。</w:t>
      </w:r>
    </w:p>
    <w:p>
      <w:pPr>
        <w:spacing w:line="500" w:lineRule="exact"/>
        <w:ind w:firstLine="562" w:firstLineChars="200"/>
        <w:rPr>
          <w:rFonts w:ascii="Times New Roman" w:hAnsi="Times New Roman" w:eastAsia="仿宋" w:cs="Times New Roman"/>
          <w:b/>
          <w:color w:val="000000" w:themeColor="text1"/>
          <w:sz w:val="28"/>
          <w:szCs w:val="28"/>
        </w:rPr>
      </w:pPr>
      <w:r>
        <w:rPr>
          <w:rFonts w:hint="eastAsia" w:ascii="Times New Roman" w:hAnsi="Times New Roman" w:eastAsia="仿宋" w:cs="Times New Roman"/>
          <w:b/>
          <w:color w:val="000000" w:themeColor="text1"/>
          <w:sz w:val="28"/>
          <w:szCs w:val="28"/>
        </w:rPr>
        <w:t>2.</w:t>
      </w:r>
      <w:r>
        <w:rPr>
          <w:rFonts w:ascii="Times New Roman" w:hAnsi="Times New Roman" w:eastAsia="仿宋" w:cs="Times New Roman"/>
          <w:b/>
          <w:color w:val="000000" w:themeColor="text1"/>
          <w:sz w:val="28"/>
          <w:szCs w:val="28"/>
        </w:rPr>
        <w:t>人员信息化能力提升</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为不断提升实验技术人员的信息化能力，中心积极组织相关人员参加学校以及学院组织的各类培训活动。如参加 “西北农林科技大学大型仪器设备共享信息系统培训”、“教育技术与应用系列培训”以及“园艺学院新闻写作培训”等活动。</w:t>
      </w:r>
      <w:r>
        <w:rPr>
          <w:rFonts w:hint="eastAsia" w:ascii="Times New Roman" w:hAnsi="Times New Roman" w:eastAsia="仿宋" w:cs="Times New Roman"/>
          <w:color w:val="000000" w:themeColor="text1"/>
          <w:sz w:val="28"/>
          <w:szCs w:val="28"/>
        </w:rPr>
        <w:t>示范</w:t>
      </w:r>
      <w:r>
        <w:rPr>
          <w:rFonts w:ascii="Times New Roman" w:hAnsi="Times New Roman" w:eastAsia="仿宋" w:cs="Times New Roman"/>
          <w:color w:val="000000" w:themeColor="text1"/>
          <w:sz w:val="28"/>
          <w:szCs w:val="28"/>
        </w:rPr>
        <w:t>中心现有专职实验管理人员14人，其中高级职称以上人员8名，其中2人具有博士学位，硕士学位以上人员10名。</w:t>
      </w:r>
    </w:p>
    <w:p>
      <w:pPr>
        <w:spacing w:line="500" w:lineRule="exact"/>
        <w:ind w:firstLine="560" w:firstLineChars="200"/>
        <w:jc w:val="left"/>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示范</w:t>
      </w:r>
      <w:r>
        <w:rPr>
          <w:rFonts w:ascii="Times New Roman" w:hAnsi="Times New Roman" w:eastAsia="仿宋" w:cs="Times New Roman"/>
          <w:color w:val="000000" w:themeColor="text1"/>
          <w:sz w:val="28"/>
          <w:szCs w:val="28"/>
        </w:rPr>
        <w:t>中心设立实验技术人员培训专项经费，根据工作需要开展技术培训和管理培训，不断提高中心管理水平。</w:t>
      </w:r>
      <w:r>
        <w:rPr>
          <w:rFonts w:hint="eastAsia" w:ascii="Times New Roman" w:hAnsi="Times New Roman" w:eastAsia="仿宋" w:cs="Times New Roman"/>
          <w:color w:val="000000" w:themeColor="text1"/>
          <w:sz w:val="28"/>
          <w:szCs w:val="28"/>
        </w:rPr>
        <w:t>2018年</w:t>
      </w:r>
      <w:r>
        <w:rPr>
          <w:rFonts w:ascii="Times New Roman" w:hAnsi="Times New Roman" w:eastAsia="仿宋" w:cs="Times New Roman"/>
          <w:color w:val="000000" w:themeColor="text1"/>
          <w:sz w:val="28"/>
          <w:szCs w:val="28"/>
        </w:rPr>
        <w:t>6月</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派出了杜慧芳、王西芳2人参加了2018年第一期“高校实验教学示范中心可持续发展暨实验教学队伍能力提升研讨会”。2018年11月</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派出了杜慧芳、唐爱均、丁勤、刘航空、罗敏蓉、张静、张飞、卢丽娟等8名实验技术人员参加了“陕西省危险化学品及实验室安全管理培训”</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分别派出了刘航空、丁勤、唐爱均、罗敏荣、卢丽娟、张静、张飞等人参加了陕西省特种设备作业人员固定式压力容器操作（R1）安全培训并取得中华人民共和国特种设备作业人员证书，提高实验人员安全管理业务水平。</w:t>
      </w:r>
      <w:r>
        <w:rPr>
          <w:rFonts w:hint="eastAsia" w:ascii="Times New Roman" w:hAnsi="Times New Roman" w:eastAsia="仿宋" w:cs="Times New Roman"/>
          <w:color w:val="000000" w:themeColor="text1"/>
          <w:sz w:val="28"/>
          <w:szCs w:val="28"/>
        </w:rPr>
        <w:t>2018年</w:t>
      </w:r>
      <w:r>
        <w:rPr>
          <w:rFonts w:ascii="Times New Roman" w:hAnsi="Times New Roman" w:eastAsia="仿宋" w:cs="Times New Roman"/>
          <w:color w:val="000000" w:themeColor="text1"/>
          <w:sz w:val="28"/>
          <w:szCs w:val="28"/>
        </w:rPr>
        <w:t>12月</w:t>
      </w:r>
      <w:r>
        <w:rPr>
          <w:rFonts w:hint="eastAsia" w:ascii="Times New Roman" w:hAnsi="Times New Roman" w:eastAsia="仿宋" w:cs="Times New Roman"/>
          <w:color w:val="000000" w:themeColor="text1"/>
          <w:sz w:val="28"/>
          <w:szCs w:val="28"/>
        </w:rPr>
        <w:t>，</w:t>
      </w:r>
      <w:r>
        <w:rPr>
          <w:rFonts w:ascii="Times New Roman" w:hAnsi="Times New Roman" w:eastAsia="仿宋" w:cs="Times New Roman"/>
          <w:color w:val="000000" w:themeColor="text1"/>
          <w:sz w:val="28"/>
          <w:szCs w:val="28"/>
        </w:rPr>
        <w:t>派出了王荣花、丁勤2名实验技术人员到四川大学华西医学基础国家级实验教学示范中心、四川农业大学省级教学实验示范中心学习。</w:t>
      </w:r>
    </w:p>
    <w:p>
      <w:pPr>
        <w:pStyle w:val="4"/>
        <w:spacing w:before="0" w:after="0" w:line="500" w:lineRule="exact"/>
        <w:ind w:firstLine="562" w:firstLineChars="200"/>
        <w:rPr>
          <w:rFonts w:ascii="Times New Roman" w:hAnsi="Times New Roman" w:eastAsia="楷体_GB2312" w:cs="Times New Roman"/>
          <w:color w:val="000000" w:themeColor="text1"/>
          <w:sz w:val="28"/>
          <w:szCs w:val="28"/>
        </w:rPr>
      </w:pPr>
      <w:bookmarkStart w:id="12" w:name="_Toc535227413"/>
      <w:r>
        <w:rPr>
          <w:rFonts w:ascii="Times New Roman" w:hAnsi="Times New Roman" w:eastAsia="楷体_GB2312" w:cs="Times New Roman"/>
          <w:color w:val="000000" w:themeColor="text1"/>
          <w:sz w:val="28"/>
          <w:szCs w:val="28"/>
        </w:rPr>
        <w:t>（二）开放运行、安全运行等情况</w:t>
      </w:r>
      <w:bookmarkEnd w:id="12"/>
    </w:p>
    <w:p>
      <w:pPr>
        <w:spacing w:line="500" w:lineRule="exact"/>
        <w:ind w:firstLine="560" w:firstLineChars="20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示范</w:t>
      </w:r>
      <w:r>
        <w:rPr>
          <w:rFonts w:ascii="Times New Roman" w:hAnsi="Times New Roman" w:eastAsia="仿宋" w:cs="Times New Roman"/>
          <w:color w:val="000000" w:themeColor="text1"/>
          <w:sz w:val="28"/>
          <w:szCs w:val="28"/>
        </w:rPr>
        <w:t>中心的实验室、仪器等的使用，实行专人负责制，专人专管，安全责任到人。实验室实行教学与开放有机结合的运行机制。面向学生开放，为学生提供实践学习和科学研究的条件。</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根据《西北农林科技大学教学实验室开放管理暂行办法》，实验管理中心制定了“关于实验室规范化管理的有关规定”、“开放实验室管理办法”、“实验人员职责”等36项制度，做到措施落实，责任明确，赏罚分明。中心实验室平均每天可开放12～16小时（包括节假日）；进入实验室实行“进入实验室申请制度”，为本科生的课程论文、毕业论文，以及硕、博士研究生的毕业论文实验提供共享平台，为学生完成提高型、综合设计性实验、创新实验项目提供了时间保障。2018年进入教学实验中心开放实验室进行或完成课程论文实验、毕业论文实验、科技创新等实验共计547人次。</w:t>
      </w:r>
    </w:p>
    <w:p>
      <w:pPr>
        <w:spacing w:line="500" w:lineRule="exact"/>
        <w:ind w:firstLine="551" w:firstLineChars="196"/>
        <w:rPr>
          <w:rFonts w:ascii="Times New Roman" w:hAnsi="Times New Roman" w:eastAsia="仿宋" w:cs="Times New Roman"/>
          <w:b/>
          <w:color w:val="000000" w:themeColor="text1"/>
          <w:sz w:val="28"/>
          <w:szCs w:val="28"/>
        </w:rPr>
      </w:pPr>
      <w:r>
        <w:rPr>
          <w:rFonts w:hint="eastAsia" w:ascii="Times New Roman" w:hAnsi="Times New Roman" w:eastAsia="仿宋" w:cs="Times New Roman"/>
          <w:b/>
          <w:color w:val="000000" w:themeColor="text1"/>
          <w:sz w:val="28"/>
          <w:szCs w:val="28"/>
        </w:rPr>
        <w:t>1.示范</w:t>
      </w:r>
      <w:r>
        <w:rPr>
          <w:rFonts w:ascii="Times New Roman" w:hAnsi="Times New Roman" w:eastAsia="仿宋" w:cs="Times New Roman"/>
          <w:b/>
          <w:color w:val="000000" w:themeColor="text1"/>
          <w:sz w:val="28"/>
          <w:szCs w:val="28"/>
        </w:rPr>
        <w:t>中心的实验室及仪器开放运行</w:t>
      </w:r>
    </w:p>
    <w:p>
      <w:pPr>
        <w:spacing w:line="500" w:lineRule="exact"/>
        <w:ind w:firstLine="562" w:firstLineChars="200"/>
        <w:rPr>
          <w:rFonts w:ascii="Times New Roman" w:hAnsi="Times New Roman" w:eastAsia="仿宋" w:cs="Times New Roman"/>
          <w:color w:val="000000" w:themeColor="text1"/>
          <w:sz w:val="28"/>
          <w:szCs w:val="28"/>
        </w:rPr>
      </w:pPr>
      <w:r>
        <w:rPr>
          <w:rFonts w:ascii="Times New Roman" w:hAnsi="Times New Roman" w:eastAsia="仿宋" w:cs="Times New Roman"/>
          <w:b/>
          <w:color w:val="000000" w:themeColor="text1"/>
          <w:sz w:val="28"/>
          <w:szCs w:val="28"/>
        </w:rPr>
        <w:t>（1）院内开放：</w:t>
      </w:r>
      <w:r>
        <w:rPr>
          <w:rFonts w:ascii="Times New Roman" w:hAnsi="Times New Roman" w:eastAsia="仿宋" w:cs="Times New Roman"/>
          <w:color w:val="000000" w:themeColor="text1"/>
          <w:sz w:val="28"/>
          <w:szCs w:val="28"/>
        </w:rPr>
        <w:t>本院学生除正常教学实验课外，学生在规定时间内未完成实验项目或完成情况未达标，可补做或重做实验，直到符合实验课达标要求；学生可通过申请，利用周末、节假日时间在实验室独立完成预定实验项目或大学生科技创新基金项目，也可利用假期在实验室参与实验教师科研课题研究；学生在教师指导下，通过选题、开题、修改实验方案等程序后，可以申请进入教学实验室，或创新实验室，进行课题研究，直到完成。</w:t>
      </w:r>
    </w:p>
    <w:p>
      <w:pPr>
        <w:spacing w:line="500" w:lineRule="exact"/>
        <w:ind w:firstLine="562" w:firstLineChars="200"/>
        <w:rPr>
          <w:rFonts w:ascii="Times New Roman" w:hAnsi="Times New Roman" w:eastAsia="仿宋" w:cs="Times New Roman"/>
          <w:color w:val="000000" w:themeColor="text1"/>
          <w:sz w:val="28"/>
          <w:szCs w:val="28"/>
        </w:rPr>
      </w:pPr>
      <w:r>
        <w:rPr>
          <w:rFonts w:ascii="Times New Roman" w:hAnsi="Times New Roman" w:eastAsia="仿宋" w:cs="Times New Roman"/>
          <w:b/>
          <w:color w:val="000000" w:themeColor="text1"/>
          <w:sz w:val="28"/>
          <w:szCs w:val="28"/>
        </w:rPr>
        <w:t>（2）校内开放：</w:t>
      </w:r>
      <w:r>
        <w:rPr>
          <w:rFonts w:ascii="Times New Roman" w:hAnsi="Times New Roman" w:eastAsia="仿宋" w:cs="Times New Roman"/>
          <w:color w:val="000000" w:themeColor="text1"/>
          <w:sz w:val="28"/>
          <w:szCs w:val="28"/>
        </w:rPr>
        <w:t>在完成正常教学任务的前提下，利用现有师资、仪器设备、软件系统等资源，面向全校师生开放。实验室开放按照规范的预约程序与相关实验室管理人员预约时间，并在老师的指导下，通过申请可进入实验室进行实验。</w:t>
      </w:r>
    </w:p>
    <w:p>
      <w:pPr>
        <w:spacing w:line="500" w:lineRule="exact"/>
        <w:ind w:firstLine="562" w:firstLineChars="200"/>
        <w:rPr>
          <w:rFonts w:ascii="Times New Roman" w:hAnsi="Times New Roman" w:eastAsia="仿宋" w:cs="Times New Roman"/>
          <w:color w:val="000000" w:themeColor="text1"/>
          <w:sz w:val="28"/>
          <w:szCs w:val="28"/>
        </w:rPr>
      </w:pPr>
      <w:r>
        <w:rPr>
          <w:rFonts w:ascii="Times New Roman" w:hAnsi="Times New Roman" w:eastAsia="仿宋" w:cs="Times New Roman"/>
          <w:b/>
          <w:color w:val="000000" w:themeColor="text1"/>
          <w:sz w:val="28"/>
          <w:szCs w:val="28"/>
        </w:rPr>
        <w:t>（3）预约开放：</w:t>
      </w:r>
      <w:r>
        <w:rPr>
          <w:rFonts w:ascii="Times New Roman" w:hAnsi="Times New Roman" w:eastAsia="仿宋" w:cs="Times New Roman"/>
          <w:color w:val="000000" w:themeColor="text1"/>
          <w:sz w:val="28"/>
          <w:szCs w:val="28"/>
        </w:rPr>
        <w:t>全校学生、教师和研究生均可通过预约方式，确定实验室使用时间，在预约时间内，经培训，预约人可独立使用实验室和相关仪器设备。</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园艺科学研究中心建成并运行后，仪器使用率平均达98%；中心结合大型设备的功能，建立了植物中多糖、类胡萝卜素等63种不同实验测试方法；201</w:t>
      </w:r>
      <w:r>
        <w:rPr>
          <w:rFonts w:hint="eastAsia" w:ascii="Times New Roman" w:hAnsi="Times New Roman" w:eastAsia="仿宋" w:cs="Times New Roman"/>
          <w:color w:val="000000" w:themeColor="text1"/>
          <w:sz w:val="28"/>
          <w:szCs w:val="28"/>
        </w:rPr>
        <w:t>7</w:t>
      </w:r>
      <w:r>
        <w:rPr>
          <w:rFonts w:ascii="Times New Roman" w:hAnsi="Times New Roman" w:eastAsia="仿宋" w:cs="Times New Roman"/>
          <w:color w:val="000000" w:themeColor="text1"/>
          <w:sz w:val="28"/>
          <w:szCs w:val="28"/>
        </w:rPr>
        <w:t>年仪器开放机时合计21574小时，培训学生389人次，为学院和林学、资环等学院开展测试试验项目1661项，测样数合计72503个。中心为广大师生尤其是新进教工顺利开展研究工作提供了便利，中心的开放运行管理模式受到师生的广泛认同和支持。</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园艺科学研究中心平台所有10万元以上设备45台（套），价值近2000多万，均加入我校大型设备共享系统，校内外人员均可随时预约，开放共享。2018年，平台完成学院和园艺、农学、林学、生命等学院各类测试样品50000余份，机时数为36000多，仪器开放网上预约使用，大大提高了仪器利用率，促进了大型仪器的开发共享工作。</w:t>
      </w:r>
    </w:p>
    <w:p>
      <w:pPr>
        <w:spacing w:line="500" w:lineRule="exact"/>
        <w:ind w:firstLine="562" w:firstLineChars="200"/>
        <w:rPr>
          <w:rFonts w:ascii="Times New Roman" w:hAnsi="Times New Roman" w:eastAsia="仿宋" w:cs="Times New Roman"/>
          <w:b/>
          <w:color w:val="000000" w:themeColor="text1"/>
          <w:sz w:val="28"/>
          <w:szCs w:val="28"/>
        </w:rPr>
      </w:pPr>
      <w:r>
        <w:rPr>
          <w:rFonts w:hint="eastAsia" w:ascii="Times New Roman" w:hAnsi="Times New Roman" w:eastAsia="仿宋" w:cs="Times New Roman"/>
          <w:b/>
          <w:color w:val="000000" w:themeColor="text1"/>
          <w:sz w:val="28"/>
          <w:szCs w:val="28"/>
        </w:rPr>
        <w:t>2.</w:t>
      </w:r>
      <w:r>
        <w:rPr>
          <w:rFonts w:ascii="Times New Roman" w:hAnsi="Times New Roman" w:eastAsia="仿宋" w:cs="Times New Roman"/>
          <w:b/>
          <w:color w:val="000000" w:themeColor="text1"/>
          <w:sz w:val="28"/>
          <w:szCs w:val="28"/>
        </w:rPr>
        <w:t>安全运行情况</w:t>
      </w:r>
    </w:p>
    <w:p>
      <w:pPr>
        <w:spacing w:line="500" w:lineRule="exact"/>
        <w:ind w:firstLine="560" w:firstLineChars="20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示范</w:t>
      </w:r>
      <w:r>
        <w:rPr>
          <w:rFonts w:ascii="Times New Roman" w:hAnsi="Times New Roman" w:eastAsia="仿宋" w:cs="Times New Roman"/>
          <w:color w:val="000000" w:themeColor="text1"/>
          <w:sz w:val="28"/>
          <w:szCs w:val="28"/>
        </w:rPr>
        <w:t>中心实行安全目标责任制，每个实验室确定一名安全责任人，负责该实验室的消防、安全防范等。中心实行安全准入制度，面对全院教师、本科生、研究生每学期都设有安全培训课，对每个新进实验人员进行安全培训。对于易燃、剧毒物品的保管、领用实行审批制度，做到专人专处保管。对于有三废（废气、废液、废渣）的实验室，严格执行三废处理规则，确保环境安全。</w:t>
      </w:r>
    </w:p>
    <w:p>
      <w:pPr>
        <w:spacing w:line="500" w:lineRule="exact"/>
        <w:ind w:firstLine="560" w:firstLineChars="20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示范</w:t>
      </w:r>
      <w:r>
        <w:rPr>
          <w:rFonts w:ascii="Times New Roman" w:hAnsi="Times New Roman" w:eastAsia="仿宋" w:cs="Times New Roman"/>
          <w:color w:val="000000" w:themeColor="text1"/>
          <w:sz w:val="28"/>
          <w:szCs w:val="28"/>
        </w:rPr>
        <w:t>中心为了确保实验室各项工作顺利开展，维持正常实验室秩序，防范安全事故的发生，中心安装了24小时视频监控系统，实行校园一卡通门禁系统，严格了实验室的准入制度。为了普及实验室安全知识，中心编制并印发了《实验室安全管理手册》，并在每个实验室张贴有关管理制度、安全规范和安全标识，进一步规范学生的安全操作。中心在每学期开学第一周和期末最后一周定为“安全培训周”，对学生进行实验室安全和仪器安全使用培训，确保实验室安全运行。</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为规范管理，中心进一步细化和明确聘任合同的岗位职责、工作任务、考核标准、续聘或解聘等办法。中心所有工作人员必须参加平台统一组织的年度考核、聘期考评、从而实现竞争上岗、合理流动。建立实验室人员考核的绩效量化体制，以提高实验管理人员的工作积极性，保证中心安全高效运行。</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中心实验技术人员实行例会制，每周一由总实验师主持会议，总结上周工作并安排本周任务，及时解决工作中遇到的问题。</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管理机制建设：园艺科学研究中心建设是在学校科研院的领导下，由学院负责逐步推进。中心实行教授委员会指导、院长领导下的实验总师负责制。中心重大事项分别经学院党政联席会议和教授委员会讨论通过。</w:t>
      </w:r>
    </w:p>
    <w:p>
      <w:pPr>
        <w:spacing w:line="500" w:lineRule="exact"/>
        <w:ind w:firstLine="560" w:firstLineChars="20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示范</w:t>
      </w:r>
      <w:r>
        <w:rPr>
          <w:rFonts w:ascii="Times New Roman" w:hAnsi="Times New Roman" w:eastAsia="仿宋" w:cs="Times New Roman"/>
          <w:color w:val="000000" w:themeColor="text1"/>
          <w:sz w:val="28"/>
          <w:szCs w:val="28"/>
        </w:rPr>
        <w:t>中心制定了完善的规章管理制度体系，《园艺科学研究中心仪器集中及归置工作方案》、《园艺科学研究中心工作人员岗位职责》、《园艺科学研究中心工作人员考核办法》、《园艺科学研究中心仪器设备管理及运行办法》等规章制度，出台了《园艺科学研究中心实验室安全事故应急预案》、《园艺科学研究中心仪器技术操作规程》以及相关研究生的准入制度等，有效保障了实验室安全运行。</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加强学生的安全培训，除了每年学期初、学期末面向本科生、研究生进行安全讲座外，1月15日至19日成功举办了以“提高安全意识, 养成安全习惯”为主题的“园艺学院第一届实验室安全周”活动，我校322名师生参加了本次培训活动。针对实验室安全、各个大型设备的正确操作使用等方面，平台各个分室负责实验人员对学生进行为期一周的有针对性的培训，宣传实验室安全重要性，不断提高师生安全防范意识和应对突发事件的应急处置能力。今年4月17日，平台还邀请陕西科仪科技有限公司安全工程师为我院师生开展实验室安全规范讲座，从实验室日常操作，危险化学品存储，实验室通风环境管理方面分析实验室安全现状问题，并提供相应的建议和解决方案。</w:t>
      </w:r>
    </w:p>
    <w:p>
      <w:pPr>
        <w:pStyle w:val="21"/>
        <w:widowControl/>
        <w:spacing w:before="0" w:beforeAutospacing="0" w:after="0" w:afterAutospacing="0" w:line="500" w:lineRule="exact"/>
        <w:ind w:firstLine="560" w:firstLineChars="200"/>
        <w:rPr>
          <w:rFonts w:eastAsia="仿宋"/>
          <w:color w:val="000000" w:themeColor="text1"/>
          <w:kern w:val="2"/>
          <w:sz w:val="28"/>
          <w:szCs w:val="28"/>
        </w:rPr>
      </w:pPr>
      <w:r>
        <w:rPr>
          <w:rFonts w:eastAsia="仿宋"/>
          <w:color w:val="000000" w:themeColor="text1"/>
          <w:kern w:val="2"/>
          <w:sz w:val="28"/>
          <w:szCs w:val="28"/>
        </w:rPr>
        <w:t>随着“一带一路”建设的深入推进，我院来自丝绸之路经济带沿线国家高层次学历留学生人数不断增加。2018年5月31日-6月4日，我院园艺科学研究中心开展了留学生实验室安全准入培训与考核工作。来自果树学与蔬菜学20名留学生参加了本次培训并顺利通过考核。培训与考核针对留学生汉语水平普遍较为薄弱的特点，主讲教师结合学院实验室实际，采用现场全英文讲解与演示、交流与考核的方式进行。旨在提高留学生安全意识与防护技能，保障其人身安全和实验室安全。同时，这一举措还有利于加大实验室开放力度，加强实验室在国际交流中的作用。</w:t>
      </w:r>
    </w:p>
    <w:p>
      <w:pPr>
        <w:pStyle w:val="21"/>
        <w:widowControl/>
        <w:spacing w:before="0" w:beforeAutospacing="0" w:after="0" w:afterAutospacing="0" w:line="500" w:lineRule="exact"/>
        <w:ind w:firstLine="560" w:firstLineChars="200"/>
        <w:rPr>
          <w:rFonts w:eastAsia="仿宋"/>
          <w:color w:val="000000" w:themeColor="text1"/>
          <w:kern w:val="2"/>
          <w:sz w:val="28"/>
          <w:szCs w:val="28"/>
        </w:rPr>
      </w:pPr>
      <w:r>
        <w:rPr>
          <w:rFonts w:hint="eastAsia" w:eastAsia="仿宋"/>
          <w:color w:val="000000" w:themeColor="text1"/>
          <w:kern w:val="2"/>
          <w:sz w:val="28"/>
          <w:szCs w:val="28"/>
        </w:rPr>
        <w:t>示范中心</w:t>
      </w:r>
      <w:r>
        <w:rPr>
          <w:rFonts w:eastAsia="仿宋"/>
          <w:color w:val="000000" w:themeColor="text1"/>
          <w:kern w:val="2"/>
          <w:sz w:val="28"/>
          <w:szCs w:val="28"/>
        </w:rPr>
        <w:t>现有园艺科学研究中心交流群在线人数347人，精密仪器技术交流群193人，园艺组织培养之家群150人，共计690人。在各个交流群，上传仪器使用操作、仪器培训ppt、相关实验参考文献等资料，便于学生随时线上学习、查阅。</w:t>
      </w:r>
    </w:p>
    <w:p>
      <w:pPr>
        <w:pStyle w:val="21"/>
        <w:widowControl/>
        <w:spacing w:before="0" w:beforeAutospacing="0" w:after="0" w:afterAutospacing="0" w:line="500" w:lineRule="exact"/>
        <w:ind w:firstLine="560" w:firstLineChars="200"/>
        <w:rPr>
          <w:rFonts w:eastAsia="仿宋"/>
          <w:color w:val="000000" w:themeColor="text1"/>
          <w:kern w:val="2"/>
          <w:sz w:val="28"/>
          <w:szCs w:val="28"/>
        </w:rPr>
      </w:pPr>
      <w:r>
        <w:rPr>
          <w:rFonts w:hint="eastAsia" w:eastAsia="仿宋"/>
          <w:color w:val="000000" w:themeColor="text1"/>
          <w:kern w:val="2"/>
          <w:sz w:val="28"/>
          <w:szCs w:val="28"/>
        </w:rPr>
        <w:t>示范中心</w:t>
      </w:r>
      <w:r>
        <w:rPr>
          <w:rFonts w:eastAsia="仿宋"/>
          <w:color w:val="000000" w:themeColor="text1"/>
          <w:kern w:val="2"/>
          <w:sz w:val="28"/>
          <w:szCs w:val="28"/>
        </w:rPr>
        <w:t>实验室采取“门禁+监控”管理系统，截止2018年12月，平台在线注册师生429人次。实验人员通过电脑和手机端可以实时监控实验室安全，为及时解决实验室突发事件提供了保障。</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此外，配合学校的“实验安全教育月”活动，公共平台开放实验室实行实验人员值班制，值班时间为：工作日19：:0-21:30，周末全天，最大限度保障师生生命和财产安全。</w:t>
      </w:r>
    </w:p>
    <w:p>
      <w:pPr>
        <w:spacing w:line="500" w:lineRule="exact"/>
        <w:ind w:firstLine="700" w:firstLineChars="25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对精密仪器操作培训及实验技术讲座常态化开展，截止2018年12月20日，开展精密仪器培训及讲座共计17场次期，培训人数达到952人次。</w:t>
      </w:r>
    </w:p>
    <w:p>
      <w:pPr>
        <w:spacing w:line="500" w:lineRule="exact"/>
        <w:ind w:firstLine="560" w:firstLineChars="200"/>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为有效应对和妥善处置实验室突发安全事故，保障师生员工人身安全，</w:t>
      </w: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制定了详细有效地实验室安全应急预案，在组织体系与职责分工、实验室安全事故处理程序、应急保障等方面做了详细的说明。同时，给所有实验室配备了急救箱，以备学生能及时处理简单的烧伤和灼伤事故。对实验室对于配备有氢气、乙炔等易燃易爆气体钢瓶的房间，将304氢气瓶更换为氢气发生器，同时在304色谱质谱室、306、307植物生理室分别配备可燃气体报警器，在110接种室、112组织准备室增加了灭火毯等，补充了所有急救箱内的急救药品，加强防范等。</w:t>
      </w:r>
    </w:p>
    <w:p>
      <w:pPr>
        <w:spacing w:line="500" w:lineRule="exact"/>
        <w:ind w:firstLine="560" w:firstLineChars="200"/>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全年接待兄弟院校、科研单位、</w:t>
      </w:r>
      <w:r>
        <w:fldChar w:fldCharType="begin"/>
      </w:r>
      <w:r>
        <w:instrText xml:space="preserve"> HYPERLINK "http://yyxy.nwsuaf.edu.cn/xyxw/400899.htm" \t "_blank" </w:instrText>
      </w:r>
      <w:r>
        <w:fldChar w:fldCharType="separate"/>
      </w:r>
      <w:r>
        <w:rPr>
          <w:rFonts w:ascii="Times New Roman" w:hAnsi="Times New Roman" w:eastAsia="仿宋" w:cs="Times New Roman"/>
          <w:color w:val="000000" w:themeColor="text1"/>
          <w:sz w:val="28"/>
          <w:szCs w:val="28"/>
        </w:rPr>
        <w:t>国际青年学者论坛园艺分学术论坛</w:t>
      </w:r>
      <w:r>
        <w:rPr>
          <w:rFonts w:ascii="Times New Roman" w:hAnsi="Times New Roman" w:eastAsia="仿宋" w:cs="Times New Roman"/>
          <w:color w:val="000000" w:themeColor="text1"/>
          <w:sz w:val="28"/>
          <w:szCs w:val="28"/>
        </w:rPr>
        <w:fldChar w:fldCharType="end"/>
      </w:r>
      <w:r>
        <w:rPr>
          <w:rFonts w:ascii="Times New Roman" w:hAnsi="Times New Roman" w:eastAsia="仿宋" w:cs="Times New Roman"/>
          <w:color w:val="000000" w:themeColor="text1"/>
          <w:sz w:val="28"/>
          <w:szCs w:val="28"/>
        </w:rPr>
        <w:t>、</w:t>
      </w:r>
      <w:r>
        <w:fldChar w:fldCharType="begin"/>
      </w:r>
      <w:r>
        <w:instrText xml:space="preserve"> HYPERLINK "http://yyxy.nwsuaf.edu.cn/xkjs/yjpt/408183.htm" \t "_blank" </w:instrText>
      </w:r>
      <w:r>
        <w:fldChar w:fldCharType="separate"/>
      </w:r>
      <w:r>
        <w:rPr>
          <w:rFonts w:ascii="Times New Roman" w:hAnsi="Times New Roman" w:eastAsia="仿宋" w:cs="Times New Roman"/>
          <w:color w:val="000000" w:themeColor="text1"/>
          <w:sz w:val="28"/>
          <w:szCs w:val="28"/>
        </w:rPr>
        <w:t>国际联合苹果研究中心</w:t>
      </w:r>
      <w:r>
        <w:rPr>
          <w:rFonts w:ascii="Times New Roman" w:hAnsi="Times New Roman" w:eastAsia="仿宋" w:cs="Times New Roman"/>
          <w:color w:val="000000" w:themeColor="text1"/>
          <w:sz w:val="28"/>
          <w:szCs w:val="28"/>
        </w:rPr>
        <w:fldChar w:fldCharType="end"/>
      </w:r>
      <w:r>
        <w:rPr>
          <w:rFonts w:ascii="Times New Roman" w:hAnsi="Times New Roman" w:eastAsia="仿宋" w:cs="Times New Roman"/>
          <w:color w:val="000000" w:themeColor="text1"/>
          <w:sz w:val="28"/>
          <w:szCs w:val="28"/>
        </w:rPr>
        <w:t>等各类参观30余次，接待人员达到500余人次。</w:t>
      </w:r>
      <w:r>
        <w:rPr>
          <w:rFonts w:hint="eastAsia" w:ascii="Times New Roman" w:hAnsi="Times New Roman" w:eastAsia="仿宋" w:cs="Times New Roman"/>
          <w:color w:val="000000" w:themeColor="text1"/>
          <w:sz w:val="28"/>
          <w:szCs w:val="28"/>
        </w:rPr>
        <w:t>中心</w:t>
      </w:r>
      <w:r>
        <w:rPr>
          <w:rFonts w:ascii="Times New Roman" w:hAnsi="Times New Roman" w:eastAsia="仿宋" w:cs="Times New Roman"/>
          <w:color w:val="000000" w:themeColor="text1"/>
          <w:sz w:val="28"/>
          <w:szCs w:val="28"/>
        </w:rPr>
        <w:t>配有专职实验老师张飞担任全英文讲解人员，接待</w:t>
      </w:r>
      <w:r>
        <w:rPr>
          <w:rFonts w:hint="eastAsia" w:ascii="Times New Roman" w:hAnsi="Times New Roman" w:eastAsia="仿宋" w:cs="Times New Roman"/>
          <w:color w:val="000000" w:themeColor="text1"/>
          <w:sz w:val="28"/>
          <w:szCs w:val="28"/>
        </w:rPr>
        <w:t>美国、加拿大、意大利、新西兰等</w:t>
      </w:r>
      <w:r>
        <w:rPr>
          <w:rFonts w:ascii="Times New Roman" w:hAnsi="Times New Roman" w:eastAsia="仿宋" w:cs="Times New Roman"/>
          <w:color w:val="000000" w:themeColor="text1"/>
          <w:sz w:val="28"/>
          <w:szCs w:val="28"/>
        </w:rPr>
        <w:t>国外专家</w:t>
      </w:r>
      <w:r>
        <w:rPr>
          <w:rFonts w:hint="eastAsia" w:ascii="Times New Roman" w:hAnsi="Times New Roman" w:eastAsia="仿宋" w:cs="Times New Roman"/>
          <w:color w:val="000000" w:themeColor="text1"/>
          <w:sz w:val="28"/>
          <w:szCs w:val="28"/>
        </w:rPr>
        <w:t>14名，</w:t>
      </w:r>
      <w:r>
        <w:rPr>
          <w:rFonts w:ascii="Times New Roman" w:hAnsi="Times New Roman" w:eastAsia="仿宋" w:cs="Times New Roman"/>
          <w:color w:val="000000" w:themeColor="text1"/>
          <w:sz w:val="28"/>
          <w:szCs w:val="28"/>
        </w:rPr>
        <w:t>通过</w:t>
      </w:r>
      <w:r>
        <w:rPr>
          <w:rFonts w:hint="eastAsia" w:ascii="Times New Roman" w:hAnsi="Times New Roman" w:eastAsia="仿宋" w:cs="Times New Roman"/>
          <w:color w:val="000000" w:themeColor="text1"/>
          <w:sz w:val="28"/>
          <w:szCs w:val="28"/>
        </w:rPr>
        <w:t>示范中心</w:t>
      </w:r>
      <w:r>
        <w:rPr>
          <w:rFonts w:ascii="Times New Roman" w:hAnsi="Times New Roman" w:eastAsia="仿宋" w:cs="Times New Roman"/>
          <w:color w:val="000000" w:themeColor="text1"/>
          <w:sz w:val="28"/>
          <w:szCs w:val="28"/>
        </w:rPr>
        <w:t>窗口，向来</w:t>
      </w:r>
      <w:r>
        <w:rPr>
          <w:rFonts w:hint="eastAsia" w:ascii="Times New Roman" w:hAnsi="Times New Roman" w:eastAsia="仿宋" w:cs="Times New Roman"/>
          <w:color w:val="000000" w:themeColor="text1"/>
          <w:sz w:val="28"/>
          <w:szCs w:val="28"/>
        </w:rPr>
        <w:t>国内外</w:t>
      </w:r>
      <w:r>
        <w:rPr>
          <w:rFonts w:ascii="Times New Roman" w:hAnsi="Times New Roman" w:eastAsia="仿宋" w:cs="Times New Roman"/>
          <w:color w:val="000000" w:themeColor="text1"/>
          <w:sz w:val="28"/>
          <w:szCs w:val="28"/>
        </w:rPr>
        <w:t>较好地展示了</w:t>
      </w:r>
      <w:r>
        <w:rPr>
          <w:rFonts w:hint="eastAsia" w:ascii="Times New Roman" w:hAnsi="Times New Roman" w:eastAsia="仿宋" w:cs="Times New Roman"/>
          <w:color w:val="000000" w:themeColor="text1"/>
          <w:sz w:val="28"/>
          <w:szCs w:val="28"/>
        </w:rPr>
        <w:t>示范中心的示范引领功能</w:t>
      </w:r>
      <w:r>
        <w:rPr>
          <w:rFonts w:ascii="Times New Roman" w:hAnsi="Times New Roman" w:eastAsia="仿宋" w:cs="Times New Roman"/>
          <w:color w:val="000000" w:themeColor="text1"/>
          <w:sz w:val="28"/>
          <w:szCs w:val="28"/>
        </w:rPr>
        <w:t>。</w:t>
      </w:r>
    </w:p>
    <w:p>
      <w:pPr>
        <w:spacing w:line="500" w:lineRule="exact"/>
        <w:ind w:firstLine="560" w:firstLineChars="200"/>
        <w:rPr>
          <w:rFonts w:ascii="Times New Roman" w:hAnsi="Times New Roman" w:eastAsia="仿宋" w:cs="Times New Roman"/>
          <w:color w:val="000000" w:themeColor="text1"/>
          <w:sz w:val="28"/>
          <w:szCs w:val="28"/>
        </w:rPr>
      </w:pPr>
    </w:p>
    <w:p>
      <w:pPr>
        <w:spacing w:line="500" w:lineRule="exact"/>
        <w:ind w:firstLine="560" w:firstLineChars="200"/>
        <w:rPr>
          <w:rFonts w:ascii="Times New Roman" w:hAnsi="Times New Roman" w:eastAsia="仿宋_GB2312" w:cs="Times New Roman"/>
          <w:color w:val="000000" w:themeColor="text1"/>
          <w:sz w:val="28"/>
          <w:szCs w:val="28"/>
        </w:rPr>
        <w:sectPr>
          <w:footerReference r:id="rId5" w:type="default"/>
          <w:pgSz w:w="11906" w:h="16838"/>
          <w:pgMar w:top="1418" w:right="1588" w:bottom="1418" w:left="1588" w:header="851" w:footer="992" w:gutter="0"/>
          <w:pgNumType w:start="1"/>
          <w:cols w:space="425" w:num="1"/>
          <w:docGrid w:type="lines" w:linePitch="312" w:charSpace="0"/>
        </w:sectPr>
      </w:pPr>
    </w:p>
    <w:p>
      <w:pPr>
        <w:pStyle w:val="3"/>
        <w:spacing w:before="156" w:beforeLines="50" w:after="156" w:afterLines="50" w:line="240" w:lineRule="auto"/>
        <w:ind w:firstLine="180" w:firstLineChars="50"/>
        <w:rPr>
          <w:rFonts w:ascii="Times New Roman" w:hAnsi="Times New Roman" w:eastAsia="黑体" w:cs="Times New Roman"/>
          <w:b w:val="0"/>
          <w:color w:val="000000" w:themeColor="text1"/>
          <w:sz w:val="36"/>
          <w:szCs w:val="36"/>
        </w:rPr>
      </w:pPr>
      <w:bookmarkStart w:id="13" w:name="_Toc535227414"/>
      <w:r>
        <w:rPr>
          <w:rFonts w:ascii="Times New Roman" w:hAnsi="Times New Roman" w:eastAsia="黑体" w:cs="Times New Roman"/>
          <w:b w:val="0"/>
          <w:color w:val="000000" w:themeColor="text1"/>
          <w:sz w:val="36"/>
          <w:szCs w:val="36"/>
        </w:rPr>
        <w:t>五、示范中心大事记（</w:t>
      </w:r>
      <w:r>
        <w:rPr>
          <w:rFonts w:ascii="Times New Roman" w:hAnsi="Times New Roman" w:eastAsia="楷体_GB2312" w:cs="Times New Roman"/>
          <w:color w:val="000000" w:themeColor="text1"/>
        </w:rPr>
        <w:t>对外交流合作、发挥示范引领、支持中西部高校实验教学改革等情况</w:t>
      </w:r>
      <w:r>
        <w:rPr>
          <w:rFonts w:ascii="Times New Roman" w:hAnsi="Times New Roman" w:eastAsia="黑体" w:cs="Times New Roman"/>
          <w:b w:val="0"/>
          <w:color w:val="000000" w:themeColor="text1"/>
          <w:sz w:val="36"/>
          <w:szCs w:val="36"/>
        </w:rPr>
        <w:t>）</w:t>
      </w:r>
      <w:bookmarkEnd w:id="13"/>
    </w:p>
    <w:p>
      <w:pPr>
        <w:snapToGrid w:val="0"/>
        <w:jc w:val="center"/>
        <w:rPr>
          <w:rFonts w:ascii="Times New Roman" w:hAnsi="Times New Roman" w:cs="Times New Roman"/>
          <w:b/>
          <w:color w:val="000000" w:themeColor="text1"/>
          <w:sz w:val="32"/>
          <w:szCs w:val="32"/>
        </w:rPr>
      </w:pPr>
      <w:bookmarkStart w:id="14" w:name="_Toc481180919"/>
      <w:r>
        <w:rPr>
          <w:rFonts w:ascii="Times New Roman" w:hAnsi="Times New Roman" w:eastAsia="黑体" w:cs="Times New Roman"/>
          <w:color w:val="000000" w:themeColor="text1"/>
          <w:sz w:val="32"/>
          <w:szCs w:val="32"/>
        </w:rPr>
        <w:t>2018年实验教学示范中心大事记</w:t>
      </w:r>
    </w:p>
    <w:tbl>
      <w:tblPr>
        <w:tblStyle w:val="23"/>
        <w:tblW w:w="1394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8"/>
        <w:gridCol w:w="2285"/>
        <w:gridCol w:w="2552"/>
        <w:gridCol w:w="4394"/>
        <w:gridCol w:w="40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blHeader/>
        </w:trPr>
        <w:tc>
          <w:tcPr>
            <w:tcW w:w="658"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序号</w:t>
            </w:r>
          </w:p>
        </w:tc>
        <w:tc>
          <w:tcPr>
            <w:tcW w:w="2285"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事件名称</w:t>
            </w:r>
          </w:p>
        </w:tc>
        <w:tc>
          <w:tcPr>
            <w:tcW w:w="2552"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网址</w:t>
            </w:r>
          </w:p>
        </w:tc>
        <w:tc>
          <w:tcPr>
            <w:tcW w:w="4394"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主要内容</w:t>
            </w:r>
          </w:p>
        </w:tc>
        <w:tc>
          <w:tcPr>
            <w:tcW w:w="4059"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图片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校推广处张正新副处长一行莅临西乡茶叶试验站检查指导工作</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http://yyxy.nwafu.edu.cn/xyxw/380522.htm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3月4日上午，学校推广处张正新副处长一行利用周末时间，赴</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西乡茶叶试验示范站和西乡油菜试验示范基地检查指导工作。</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39010" cy="1257300"/>
                  <wp:effectExtent l="0" t="0" r="8890" b="0"/>
                  <wp:docPr id="105" name="图片 4" descr="http://yyxy.nwafu.edu.cn/images/content/2018-03/2018030810542118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descr="http://yyxy.nwafu.edu.cn/images/content/2018-03/201803081054211844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67367" cy="1272964"/>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美国密苏里州立大学Wenping Qiu教授来我院学术交流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http://yyxy.nwafu.edu.cn/xyxw/381834.htm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应我院果树系文颖强教授邀请，美国密苏里州大学Wenping</w:t>
            </w:r>
            <w:r>
              <w:rPr>
                <w:rFonts w:hint="eastAsia" w:ascii="Times New Roman" w:hAnsi="Times New Roman" w:eastAsia="仿宋_GB2312" w:cs="Times New Roman"/>
                <w:color w:val="000000" w:themeColor="text1"/>
                <w:sz w:val="24"/>
                <w:szCs w:val="24"/>
              </w:rPr>
              <w:t xml:space="preserve"> </w:t>
            </w:r>
            <w:r>
              <w:rPr>
                <w:rFonts w:ascii="Times New Roman" w:hAnsi="Times New Roman" w:eastAsia="仿宋_GB2312" w:cs="Times New Roman"/>
                <w:color w:val="000000" w:themeColor="text1"/>
                <w:sz w:val="24"/>
                <w:szCs w:val="24"/>
              </w:rPr>
              <w:t>Qiu教授于3月15-18日来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进行学术交流。</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66315" cy="1508760"/>
                  <wp:effectExtent l="0" t="0" r="635" b="0"/>
                  <wp:docPr id="106" name="图片 5" descr="http://yyxy.nwafu.edu.cn/images/content/2018-03/2018031911035701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descr="http://yyxy.nwafu.edu.cn/images/content/2018-03/201803191103570122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16645" cy="1542224"/>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049"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陕西省人大常委会一行洛川苹果试验站调研</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http://yyxy.nwafu.edu.cn/xyxw/382175.htm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3月19日，陕西省人大常委会一行来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洛川苹果试验站就洛川县气象工作开展情况及气象资源开发利用进行调研。</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57425" cy="1502410"/>
                  <wp:effectExtent l="0" t="0" r="0" b="2540"/>
                  <wp:docPr id="107" name="图片 6" descr="http://yyxy.nwafu.edu.cn/images/content/2018-03/2018032109190404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 descr="http://yyxy.nwafu.edu.cn/images/content/2018-03/201803210919040485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91306" cy="1525355"/>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山东莱芜市钢城区政协主席参观猕猴桃试验站</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http://yyxy.nwafu.edu.cn/xyxw/383546.htm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3月29日，山东莱芜市钢城区政协主席李全义一行来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猕猴桃试验站参观。</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60600" cy="1504950"/>
                  <wp:effectExtent l="0" t="0" r="6350" b="0"/>
                  <wp:docPr id="108" name="图片 7" descr="http://yyxy.nwafu.edu.cn/images/content/2018-03/2018033008491083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 descr="http://yyxy.nwafu.edu.cn/images/content/2018-03/201803300849108381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97628" cy="1529563"/>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5</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示范区科技局局长赫思远一行考察杨凌农业综合试验站</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http://yyxy.nwafu.edu.cn/xyxw/384804.htm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4月10日，杨凌示范区科技局局长赫思远一行三人，在推广处处长王亚平等陪同下，赴</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杨凌农业综合试验示范站参观考察。</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60600" cy="1695450"/>
                  <wp:effectExtent l="0" t="0" r="6350" b="0"/>
                  <wp:docPr id="109" name="图片 8" descr="http://yyxy.nwafu.edu.cn/images/content/2018-04/20180410191919555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 descr="http://yyxy.nwafu.edu.cn/images/content/2018-04/2018041019191955579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60600" cy="169545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6</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国家大宗蔬菜产业技术体系首席科学家杜永臣考察我校榆阳设施蔬菜示范基地</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http://yyxy.nwafu.edu.cn/xyxw/385345.htm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4月12-13日，国家大宗蔬菜产业技术体系首席科学家、中国园艺学会理事长、农业农村部蔬菜专家指导组长杜永臣研究员，专程赴</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西安综合试验站榆林市榆阳区设施蔬菜试验示范基地进行考察</w:t>
            </w:r>
            <w:r>
              <w:rPr>
                <w:rFonts w:hint="eastAsia" w:ascii="Times New Roman" w:hAnsi="Times New Roman" w:eastAsia="仿宋_GB2312" w:cs="Times New Roman"/>
                <w:color w:val="000000" w:themeColor="text1"/>
                <w:sz w:val="24"/>
                <w:szCs w:val="24"/>
              </w:rPr>
              <w:t>。</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32025" cy="1485900"/>
                  <wp:effectExtent l="0" t="0" r="0" b="0"/>
                  <wp:docPr id="110" name="图片 9" descr="http://yyxy.nwafu.edu.cn/images/content/2018-04/20180416085317963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 descr="http://yyxy.nwafu.edu.cn/images/content/2018-04/201804160853179637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51493" cy="1498851"/>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7</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全省科技工作会议代表观摩泾阳蔬菜试验示范站</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http://yyxy.nwafu.edu.cn/xyxw/385394.htm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4月12-13日，陕西省科技工作会议在泾阳县召开，西北农林科技大学、陕西省科学院、延安市科技局、紫阳县人民政府、汉阴县科技局、柞水县科技局和泾阳县科技局作为典型先后发言，钱永华副校长代表我校</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进行了科技交流。</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38375" cy="1678305"/>
                  <wp:effectExtent l="0" t="0" r="0" b="0"/>
                  <wp:docPr id="111" name="图片 10" descr="http://yyxy.nwafu.edu.cn/images/content/2018-04/2018041610503942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 descr="http://yyxy.nwafu.edu.cn/images/content/2018-04/20180416105039427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62084" cy="1696563"/>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8</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十二届全国人大常委会副委员长张宝文视察猕猴桃试验站</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http://yyxy.nwafu.edu.cn/xyxw/386383.htm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4月22日上午，十二届全国人大常委会副委员长张宝文莅临</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眉县猕猴桃试验站视察工作。</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5995" cy="1495425"/>
                  <wp:effectExtent l="0" t="0" r="1905" b="0"/>
                  <wp:docPr id="112" name="图片 11" descr="http://yyxy.nwafu.edu.cn/images/content/2018-04/2018042411150698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 descr="http://yyxy.nwafu.edu.cn/images/content/2018-04/201804241115069808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79184" cy="1517285"/>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9</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猕猴桃试验站专家陪同孙武学调研灾后恢复情况</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http://yyxy.nwafu.edu.cn/xyxw/387242.htm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4月27日，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猕猴桃试验站首席专家刘占德研究员、郁俊谊研究员陪同我校原校长孙武学对“4·7冻害”中受灾严重的猕猴桃果园进行调研，详细了解了各受灾果园受灾情况及灾后树体恢复情况，希望广大果农树立信息，积极落实灾后救灾技术措施，促使树体恢复，将受灾损失减到最低。</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7900" cy="1685925"/>
                  <wp:effectExtent l="0" t="0" r="0" b="9525"/>
                  <wp:docPr id="113" name="图片 12" descr="http://yyxy.nwafu.edu.cn/images/content/2018-05/2018050208532941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 descr="http://yyxy.nwafu.edu.cn/images/content/2018-05/201805020853294137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64301" cy="1698226"/>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10</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塔里木大学植物科学学院熊仁次院长一行来我院交流访问</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http://yyxy.nwafu.edu.cn/xyxw/388918.htm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5月14日上午，塔里木大学植物科学学院院长熊仁次一行8人来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交流访问。</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5995" cy="1495425"/>
                  <wp:effectExtent l="0" t="0" r="1905" b="0"/>
                  <wp:docPr id="114" name="图片 13" descr="http://yyxy.nwafu.edu.cn/images/content/2018-05/20180515105755468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3" descr="http://yyxy.nwafu.edu.cn/images/content/2018-05/201805151057554688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68698" cy="1510304"/>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铜川市耀州区领导莅临我院铜川果树试验示范站开展工作调研</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http://yyxy.nwafu.edu.cn/xyxw/389465.htm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5月16日下午，耀州区区委书记杨宏伟一行，莅临</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铜川果树试验示范站开展工作调研，并与试验站学科专家座谈。</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28850" cy="1671320"/>
                  <wp:effectExtent l="0" t="0" r="0" b="5080"/>
                  <wp:docPr id="115" name="图片 14" descr="http://yyxy.nwafu.edu.cn/images/content/2018-05/201805181626017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4" descr="http://yyxy.nwafu.edu.cn/images/content/2018-05/201805181626017015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44442" cy="1683332"/>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12</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中科院武汉植物园钟彩虹研究员参观猕猴桃试验站</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http://yyxy.nwafu.edu.cn/xyxw/389963.htm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5月14日，中科院武汉植物园钟彩虹研究员到</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眉县猕猴桃试验站进行参观交流。</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60600" cy="1695450"/>
                  <wp:effectExtent l="0" t="0" r="6350" b="0"/>
                  <wp:docPr id="116" name="图片 15" descr="http://yyxy.nwafu.edu.cn/images/content/2018-05/2018052217065585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5" descr="http://yyxy.nwafu.edu.cn/images/content/2018-05/201805221706558568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60600" cy="169545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13</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三位海外青年学者来院进行学术交流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http://yyxy.nwafu.edu.cn/xyxw/389965.htm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5月20日，美国加州大学戴维斯分校李宝华博士、德国海德堡大学马延飞博士、齐继艳博士等三位海外青年学者受邀为</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师生做学术报告。</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38375" cy="1495425"/>
                  <wp:effectExtent l="0" t="0" r="9525" b="0"/>
                  <wp:docPr id="117" name="图片 16" descr="http://yyxy.nwafu.edu.cn/images/content/2018-05/2018052217244369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6" descr="http://yyxy.nwafu.edu.cn/images/content/2018-05/2018052217244369727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52815" cy="150488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14</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美国马里兰大学朱建华博士来院交流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http://yyxy.nwafu.edu.cn/xyxw/390133.htm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5月21-25日, 美国马里兰大学帕克分校植物科学研究生项目主任朱建华博士来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访问。</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7900" cy="1492250"/>
                  <wp:effectExtent l="0" t="0" r="0" b="0"/>
                  <wp:docPr id="118" name="图片 17" descr="http://yyxy.nwafu.edu.cn/images/content/2018-05/2018052318343597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7" descr="http://yyxy.nwafu.edu.cn/images/content/2018-05/201805231834359783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71648" cy="1508375"/>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055"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15</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铜川市人大副主任蔺红伟及常委到我院铜川果树试验示范站开展工作调研</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http://yyxy.nwafu.edu.cn/xyxw/390383.htm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5月24日中午，铜川市人大副主任蔺红伟及人大常委委员一行在铜川市果业局局长任斌的陪同下，到</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铜川果树试验示范站进行调研。</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60600" cy="1695450"/>
                  <wp:effectExtent l="0" t="0" r="6350" b="0"/>
                  <wp:docPr id="119" name="图片 18" descr="http://yyxy.nwafu.edu.cn/images/content/2018-05/2018052514582866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 descr="http://yyxy.nwafu.edu.cn/images/content/2018-05/20180525145828660782.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2260600" cy="169545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87"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16</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北京林业大学孟冬博士来院进行学术交流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http://yyxy.nwafu.edu.cn/xyxw/391418.htm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6月2日，北京林业大学林木分子设计育种高精尖中心青年研究员孟冬博士在</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为师生作了题为“从苹果花发育到真菌病抗性研究—山梨醇信号的作用”的学术报告。</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51710" cy="1495425"/>
                  <wp:effectExtent l="0" t="0" r="0" b="0"/>
                  <wp:docPr id="120" name="图片 19" descr="http://yyxy.nwafu.edu.cn/images/content/2018-06/2018060408494311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9" descr="http://yyxy.nwafu.edu.cn/images/content/2018-06/2018060408494311607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268586" cy="1506341"/>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17</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学院领导赴秦岭火地塘试验林场慰问实习师生</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http://yyxy.nwafu.edu.cn/xyxw/393847.htm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6月27-28日，学院党委副书记唐海波一行前往我校火地塘试验林场，看望慰问正在进行生物学综合实习的师生。</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57425" cy="1503680"/>
                  <wp:effectExtent l="0" t="0" r="0" b="1270"/>
                  <wp:docPr id="121" name="图片 20" descr="http://yyxy.nwafu.edu.cn/images/content/2018-06/2018062908202515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0" descr="http://yyxy.nwafu.edu.cn/images/content/2018-06/20180629082025151596.jpg"/>
                          <pic:cNvPicPr>
                            <a:picLocks noChangeAspect="1" noChangeArrowheads="1"/>
                          </pic:cNvPicPr>
                        </pic:nvPicPr>
                        <pic:blipFill>
                          <a:blip r:embed="rId28"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280569" cy="1519428"/>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18</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美国爱达荷大学Fangming Xiao博士来院交流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http://yyxy.nwafu.edu.cn/xyxw/394173.htm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6月25日上午，美国爱达荷大学Fangming Xiao博士受邀来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进行学术交流。</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7900" cy="1686560"/>
                  <wp:effectExtent l="0" t="0" r="0" b="8890"/>
                  <wp:docPr id="122" name="图片 21" descr="http://yyxy.nwafu.edu.cn/images/content/2018-07/20180703104414202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 descr="http://yyxy.nwafu.edu.cn/images/content/2018-07/2018070310441420269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75812" cy="1707888"/>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19</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美国康奈尔大学李莉教授来校开展学术交流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http://yyxy.nwafu.edu.cn/xyxw/394330.htm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6月30日，美国康奈尔大学植物科学系李莉教授，应邀为</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师生作了题为《Regulatory control of carotenoid content in horticultural crops》的学术报告。</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19325" cy="1245870"/>
                  <wp:effectExtent l="0" t="0" r="0" b="0"/>
                  <wp:docPr id="123" name="图片 22" descr="http://yyxy.nwafu.edu.cn/images/content/2018-07/2018070417235657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2" descr="http://yyxy.nwafu.edu.cn/images/content/2018-07/201807041723565711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62827" cy="1270415"/>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20</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十二届全国人大副委员长陈昌智调研猕猴桃试验站</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http://yyxy.nwafu.edu.cn/xyxw/394388.htm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7月3日上午，十二届全国人大常委会副委员长、中华职业教育社理事长陈昌智一行冒雨莅临</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眉县猕猴桃试验站调研指导工作。</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5995" cy="1495425"/>
                  <wp:effectExtent l="0" t="0" r="1905" b="0"/>
                  <wp:docPr id="124" name="图片 23" descr="http://yyxy.nwafu.edu.cn/images/content/2018-07/2018070510400784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3" descr="http://yyxy.nwafu.edu.cn/images/content/2018-07/201807051040078431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66518" cy="1508853"/>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21</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甘肃省60余个县区的农业推广技术骨干到我校铜川果树试验示范站考察学习</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http://yyxy.nwafu.edu.cn/xyxw/395303.htm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7月15日，甘肃省60余个县区的100余名农业推广技术骨干及行业专家，到</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铜川果树试验示范站考察学习。</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9805" cy="1979930"/>
                  <wp:effectExtent l="0" t="0" r="0" b="1270"/>
                  <wp:docPr id="125" name="图片 25" descr="http://yyxy.nwafu.edu.cn/images/content/2018-07/2018071709255999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5" descr="http://yyxy.nwafu.edu.cn/images/content/2018-07/201807170925599983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63421" cy="199181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22</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中国茶叶流通协会常务副会长庞言良一行来我校泾阳茯茶研发中心考察</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http://yyxy.nwafu.edu.cn/xyxw/395798.htm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7月11日到13日，中国茶叶流通协会常务副会长、上海蒂芙特茶文化公司总裁庞言良先生一行四人来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考察茯茶产业发展。</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6630" cy="1684655"/>
                  <wp:effectExtent l="0" t="0" r="1270" b="0"/>
                  <wp:docPr id="126" name="图片 24" descr="http://yyxy.nwafu.edu.cn/images/content/2018-07/2018072308432383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4" descr="http://yyxy.nwafu.edu.cn/images/content/2018-07/201807230843238399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89391" cy="1716591"/>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98"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23</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意大利博洛尼亚大学Guglielmo Costa教授访问猕猴桃试验站</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http://yyxy.nwafu.edu.cn/xyxw/397660.htm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9月1日，国际知名猕猴桃专家、意大利博洛尼亚大学Guglielmo Costa教授来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眉县猕猴桃试验站访问。随行还有意大利知名猕猴桃企业Summer fruit 公司董事长Giampaolo Dal Pane 先生，试验站驻站专家和研究生参与了座谈交流。</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57425" cy="1502410"/>
                  <wp:effectExtent l="0" t="0" r="0" b="2540"/>
                  <wp:docPr id="127" name="图片 26" descr="http://yyxy.nwafu.edu.cn/images/content/2018-09/2018090311482584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6" descr="http://yyxy.nwafu.edu.cn/images/content/2018-09/2018090311482584437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93833" cy="1527037"/>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24</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省农村科技开发中心副主任刘进来我院渭河樱桃试验站开展工作调研</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http://yyxy.nwafu.edu.cn/xyxw/398351.htm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9月6日下午，陕西省农村科技开发中心刘进副主任一行，莅临</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周至渭河樱桃试验示范站开展工作调研。</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7900" cy="1496060"/>
                  <wp:effectExtent l="0" t="0" r="0" b="8890"/>
                  <wp:docPr id="128" name="图片 27" descr="http://yyxy.nwafu.edu.cn/images/content/2018-09/2018090915450157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7" descr="http://yyxy.nwafu.edu.cn/images/content/2018-09/201809091545015707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81294" cy="151869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87"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25</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马建华、郑英宁副校长率队赴太白蔬菜试验示范基地调研</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http://yyxy.nwafu.edu.cn/xyxw/398557.htm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9月7日，副校长马建华、郑英宁带领机关相关处室负责人，到</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太白县蔬菜试验示范基地，针对试验基地的基础设施条件、品种试验示范、人才培养等情况进行调研。</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19325" cy="1572260"/>
                  <wp:effectExtent l="0" t="0" r="0" b="8890"/>
                  <wp:docPr id="129" name="图片 28" descr="http://yyxy.nwafu.edu.cn/images/content/2018-09/2018091108172044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8" descr="http://yyxy.nwafu.edu.cn/images/content/2018-09/20180911081720446900.JPG"/>
                          <pic:cNvPicPr>
                            <a:picLocks noChangeAspect="1" noChangeArrowheads="1"/>
                          </pic:cNvPicPr>
                        </pic:nvPicPr>
                        <pic:blipFill>
                          <a:blip r:embed="rId36" cstate="print">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2269489" cy="1608095"/>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26</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吴普特校长一行视察西乡茶叶试验示范站工作</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http://yyxy.nwafu.edu.cn/xyxw/398710.htm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9月6日下午，吴普特校长专程赴</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西乡茶叶试验站进行视察工作。</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28850" cy="1576070"/>
                  <wp:effectExtent l="0" t="0" r="0" b="5080"/>
                  <wp:docPr id="130" name="图片 29" descr="http://yyxy.nwafu.edu.cn/images/content/2018-09/20180911201857709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9" descr="http://yyxy.nwafu.edu.cn/images/content/2018-09/2018091120185770987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56460" cy="159564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13"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27</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中国科学院吕荣森研究员一行到国家柿种质资源圃调研交流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http://yyxy.nwafu.edu.cn/xyxw/400261.htm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9月22-24日，中国科学院吕荣森研究员、美国育种专家Jim Gilbert.等一行4人到</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国家柿种质资源圃考察交流。</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32025" cy="1485900"/>
                  <wp:effectExtent l="0" t="0" r="0" b="0"/>
                  <wp:docPr id="131" name="图片 30" descr="http://yyxy.nwafu.edu.cn/images/content/2018-09/2018092511144236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0" descr="http://yyxy.nwafu.edu.cn/images/content/2018-09/201809251114423695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42446" cy="1492828"/>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28</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陕西省委书记胡和平参观我院专家科研成果</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http://yyxy.nwafu.edu.cn/xyxw/400740.htm</w:t>
            </w:r>
          </w:p>
        </w:tc>
        <w:tc>
          <w:tcPr>
            <w:tcW w:w="4394" w:type="dxa"/>
            <w:vAlign w:val="center"/>
          </w:tcPr>
          <w:p>
            <w:pPr>
              <w:spacing w:line="320" w:lineRule="exact"/>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9月26日，由陕西省委组织部、陕西省人力资源和社会保障厅主办，我校承办的陕西省第三届“丝绸之路青年学者论坛”在西安开幕</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Cs w:val="21"/>
              </w:rPr>
              <w:t>马锋旺</w:t>
            </w:r>
            <w:r>
              <w:rPr>
                <w:rFonts w:hint="eastAsia" w:ascii="Times New Roman" w:hAnsi="Times New Roman" w:eastAsia="仿宋_GB2312" w:cs="Times New Roman"/>
                <w:color w:val="000000" w:themeColor="text1"/>
                <w:szCs w:val="21"/>
              </w:rPr>
              <w:t>教授</w:t>
            </w:r>
            <w:r>
              <w:rPr>
                <w:rFonts w:ascii="Times New Roman" w:hAnsi="Times New Roman" w:eastAsia="仿宋_GB2312" w:cs="Times New Roman"/>
                <w:color w:val="000000" w:themeColor="text1"/>
                <w:szCs w:val="21"/>
              </w:rPr>
              <w:t>作为我校人才代表参加论坛并展示了他带领的苹果逆境生物学团队近年来所取得的成就。我校党委书记李兴旺，校长吴普特陪同陕西省委书记胡和平，陕西省委常委、省委组织部部长张广智，陕西省委常委、省委秘书长钱引安，副省长胡明朗等参观了</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Cs w:val="21"/>
              </w:rPr>
              <w:t>马锋旺教授团队在苹果领域所取得的成果。</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0915" cy="1613535"/>
                  <wp:effectExtent l="0" t="0" r="0" b="0"/>
                  <wp:docPr id="132" name="图片 31" descr="http://yyxy.nwafu.edu.cn/images/content/2018-09/20180928120046117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1" descr="http://yyxy.nwafu.edu.cn/images/content/2018-09/2018092812004611719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262115" cy="1628723"/>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66"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29</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国际联合苹果研究中心专家莅临洛川苹果试验站交流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http://yyxy.nwafu.edu.cn/xyxw/403468.htm</w:t>
            </w:r>
          </w:p>
        </w:tc>
        <w:tc>
          <w:tcPr>
            <w:tcW w:w="4394" w:type="dxa"/>
            <w:vAlign w:val="center"/>
          </w:tcPr>
          <w:p>
            <w:pPr>
              <w:spacing w:line="320" w:lineRule="exact"/>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10月23日，美国康奈尔大学Lailiang Cheng教授，Terence Robinson教授；意大利博洛尼亚大学Stefano Tartarini教授；意大利埃德蒙马赫基金会Annapaola Rizzoli教授，Mickael Malnoy教授，Arturo Pironti教授；新西兰皇家植物与食品研究院Zac Hanley教授，Vincent Bus教授，Daryl Rowan教授，Ross Atkinson教授, Richard Espley教授等十几位国际联合苹果研究中心的专家在国际联合苹果研究中心主任、</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Cs w:val="21"/>
              </w:rPr>
              <w:t>马锋旺教授的陪同下莅临我校洛川苹果试验站就苹果栽培模式、栽培技术、新品种等进行了现场观摩和交流。</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1577340" cy="2366645"/>
                  <wp:effectExtent l="0" t="0" r="0" b="0"/>
                  <wp:docPr id="133" name="图片 32" descr="http://yyxy.nwafu.edu.cn/images/content/2018-10/2018102508283958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2" descr="http://yyxy.nwafu.edu.cn/images/content/2018-10/201810250828395824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578995" cy="2368493"/>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18"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30</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台湾大学教授访问园艺学院</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http://yyxy.nwafu.edu.cn/xyxw/405342.htm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11月7日，台湾大学农学院前院长陈保基、吴文稀访问</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对学科发展、科研成果推广、师生交流互访等相关工作进行了调研。</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28850" cy="1479550"/>
                  <wp:effectExtent l="0" t="0" r="0" b="6350"/>
                  <wp:docPr id="134" name="图片 33" descr="http://yyxy.nwafu.edu.cn/images/content/2018-11/2018110911542715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3" descr="http://yyxy.nwafu.edu.cn/images/content/2018-11/2018110911542715365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254342" cy="1496883"/>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31</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咸阳市人大代表来我校茯茶研发中心考察</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http://yyxy.nwafu.edu.cn/xyxw/405858.htm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11月12日上午，咸阳市、泾阳县人大代表一行118人来到</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泾阳茯茶研发中心考察。陕西省茶业首席科学家、我校泾阳茯茶研发中心首席专家肖斌教授介绍了研发中心的创建历程、人员组成和发展现状，并展示了研发中心最新研发的40多款茯茶产品，得到了各位代表的高度认可。</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184400" cy="1466215"/>
                  <wp:effectExtent l="19050" t="0" r="5991" b="0"/>
                  <wp:docPr id="135" name="图片 34" descr="http://yyxy.nwafu.edu.cn/images/content/2018-11/2018111416430251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4" descr="http://yyxy.nwafu.edu.cn/images/content/2018-11/20181114164302514090.jpg"/>
                          <pic:cNvPicPr>
                            <a:picLocks noChangeAspect="1" noChangeArrowheads="1"/>
                          </pic:cNvPicPr>
                        </pic:nvPicPr>
                        <pic:blipFill>
                          <a:blip r:embed="rId42" cstate="print">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2184400" cy="146625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98"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32</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新疆生产建设兵团第一师五团团长邹杰一行访问学院</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http://yyxy.nwafu.edu.cn/xyxw/406555.htm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11月20日上午，新疆生产建设兵团第一师五团团长邹杰一行二十余人来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交流访问。</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7900" cy="1492250"/>
                  <wp:effectExtent l="0" t="0" r="0" b="0"/>
                  <wp:docPr id="136" name="图片 35" descr="http://yyxy.nwafu.edu.cn/images/content/2018-11/2018112018232936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5" descr="http://yyxy.nwafu.edu.cn/images/content/2018-11/201811201823293637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268266" cy="1506129"/>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33</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陕西省农业农村厅总农艺师戴建昌到我院铜川果树试验示范站视察</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http://yyxy.nwafu.edu.cn/xyxw/407263.htm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11月22日，陕西省农业农村厅总农艺师戴建昌、市场处处长樊凌翰等一行到</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铜川果树试验示范站视察。</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7900" cy="1496060"/>
                  <wp:effectExtent l="0" t="0" r="0" b="8890"/>
                  <wp:docPr id="137" name="图片 36" descr="http://yyxy.nwafu.edu.cn/images/content/2018-11/2018112708423065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6" descr="http://yyxy.nwafu.edu.cn/images/content/2018-11/20181127084230654825.jpg"/>
                          <pic:cNvPicPr>
                            <a:picLocks noChangeAspect="1" noChangeArrowheads="1"/>
                          </pic:cNvPicPr>
                        </pic:nvPicPr>
                        <pic:blipFill>
                          <a:blip r:embed="rId44" cstate="print">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2287092" cy="152255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34</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浙江大学喻景权教授来我院进行学术交流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http://yyxy.nwafu.edu.cn/xyxw/407284.htm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11月25日，教育部长江学者特聘教授、国家杰出青年科学基金获得者、浙江大学喻景权教授应邀在</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207会议室进行了题为“认知蔬菜，改造蔬菜，调控蔬菜”的学术报告。</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171700" cy="1875790"/>
                  <wp:effectExtent l="19050" t="0" r="0" b="0"/>
                  <wp:docPr id="138" name="图片 37" descr="http://yyxy.nwafu.edu.cn/images/content/2018-11/2018112709475203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7" descr="http://yyxy.nwafu.edu.cn/images/content/2018-11/20181127094752038231.jpg"/>
                          <pic:cNvPicPr>
                            <a:picLocks noChangeAspect="1" noChangeArrowheads="1"/>
                          </pic:cNvPicPr>
                        </pic:nvPicPr>
                        <pic:blipFill>
                          <a:blip r:embed="rId45" cstate="print">
                            <a:extLst>
                              <a:ext uri="{28A0092B-C50C-407E-A947-70E740481C1C}">
                                <a14:useLocalDpi xmlns:a14="http://schemas.microsoft.com/office/drawing/2010/main" val="0"/>
                              </a:ext>
                            </a:extLst>
                          </a:blip>
                          <a:srcRect t="35202"/>
                          <a:stretch>
                            <a:fillRect/>
                          </a:stretch>
                        </pic:blipFill>
                        <pic:spPr>
                          <a:xfrm>
                            <a:off x="0" y="0"/>
                            <a:ext cx="2171911" cy="187579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35</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邓秀新院士为园艺学科发展问诊把脉</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http://yyxy.nwafu.edu.cn/xyxw/407300.htm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11月25日，中国工程院副院长、民盟中央副主席邓秀新院士应邀莅临</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考察指导，对园艺学科发展问诊把脉。</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47265" cy="1336675"/>
                  <wp:effectExtent l="19050" t="0" r="356" b="0"/>
                  <wp:docPr id="139" name="图片 38" descr="http://yyxy.nwafu.edu.cn/images/content/2018-11/2018112711001791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8" descr="http://yyxy.nwafu.edu.cn/images/content/2018-11/2018112711001791824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288746" cy="1361606"/>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36</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山东农业大学郝玉金教授来院进行学术交流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http://yyxy.nwafu.edu.cn/xyxw/407435.htm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11月25日下午，山东农业大学郝玉金教授为</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师生带来了题为“苹果MdMYB10调控氮吸收利用效率的分子机理及其在砧木育种中的应用”的学术报告。</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197100" cy="1647825"/>
                  <wp:effectExtent l="19050" t="0" r="0" b="0"/>
                  <wp:docPr id="140" name="图片 39" descr="http://yyxy.nwafu.edu.cn/images/content/2018-12/2018120311141108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9" descr="http://yyxy.nwafu.edu.cn/images/content/2018-12/2018120311141108306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97100" cy="1647825"/>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37</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华中农业大学刘继红教授来院进行学术交流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http://yyxy.nwafu.edu.cn/xyxw/407437.htm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11月26日下午，华中农业大学刘继红教授为</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师生带来了题为“植物多胺合成转录调控—以柑橘为例”的学术报告。</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58695" cy="1495425"/>
                  <wp:effectExtent l="0" t="0" r="8255" b="0"/>
                  <wp:docPr id="141" name="图片 40" descr="http://yyxy.nwafu.edu.cn/images/content/2018-12/2018120311102566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0" descr="http://yyxy.nwafu.edu.cn/images/content/2018-12/2018120311102566098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277639" cy="1507797"/>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38</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加拿大农业部和阿尔伯塔大学专家来校开展学术交流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http://yyxy.nwafu.edu.cn/xyxw/407715.htm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11月26至28日，应园艺学院和农学院邀请，加拿大农业部萨斯卡通研究中心余凤群教授、阿尔伯塔大学Charitha Pramod Anuruddha Jayasinghege博士来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与师生进行学术交流，分别做了“Control of Canola Diseases Using Genetic Resources From its Relatives”和“Breakdown of Clubroot Resistance in Canola and Alternative Approaches for Disease Management”的报告。</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22500" cy="1333500"/>
                  <wp:effectExtent l="0" t="0" r="6350" b="0"/>
                  <wp:docPr id="142" name="图片 41" descr="http://yyxy.nwafu.edu.cn/images/content/2018-12/2018120311074023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1" descr="http://yyxy.nwafu.edu.cn/images/content/2018-12/2018120311074023267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222500" cy="133350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39</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咸阳市程建国副市长一行来我院泾阳茯茶研发中心调研</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http://yyxy.nwafu.edu.cn/xyxw/407856.htm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11月28日，咸阳市副市长程建国、咸阳市农业局局长赵更昌、咸阳市供销社主任韩彦霄、泾阳县县长拓巍峰、副县长谢保卫、岳亮、泾阳县茯茶发展服务中心、农业局、供销社等一行15人到</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泾阳茯茶研发中心调研。</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73300" cy="1704975"/>
                  <wp:effectExtent l="0" t="0" r="0" b="9525"/>
                  <wp:docPr id="143" name="图片 42" descr="http://yyxy.nwafu.edu.cn/images/content/2018-12/2018120310435156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2" descr="http://yyxy.nwafu.edu.cn/images/content/2018-12/2018120310435156847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273300" cy="1704975"/>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40</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台湾神农科技协会一行参观我院猕猴桃试验站</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http://yyxy.nwafu.edu.cn/xyxw/407699.htm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11月29日，台湾神农科技发展协会一行26人受陕西省科协邀请来眉县开展学术交流、考察调研、企业对接等活动,台湾神农科技协会理事长廖树宏先生带领神农科技协会客人参观了</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眉县猕猴桃试验站。</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76475" cy="1201420"/>
                  <wp:effectExtent l="0" t="0" r="0" b="0"/>
                  <wp:docPr id="144" name="图片 43" descr="http://yyxy.nwafu.edu.cn/images/content/2018-12/2018120311054610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3" descr="http://yyxy.nwafu.edu.cn/images/content/2018-12/2018120311054610545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303552" cy="1216276"/>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41</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加州大学戴维斯分校李宝华博士与我院十字花科团队座谈交流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http://yyxy.nwafu.edu.cn/xyxw/408450.htm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12月6日，加州大学戴维斯分校李宝华来校访问，与</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十字花科团队老师及部分研究生进行交流。团队负责人张鲁刚教授对李宝华的到来表示欢迎。李宝华就个人基本情况、学习工作经历、研究工作进展、所取得的科研成果以及未来的工作思路和目标等方面进行了详细的介绍。</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05355" cy="1495425"/>
                  <wp:effectExtent l="19050" t="0" r="4158" b="0"/>
                  <wp:docPr id="145" name="图片 44" descr="http://yyxy.nwafu.edu.cn/images/content/2018-12/20181207093009144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4" descr="http://yyxy.nwafu.edu.cn/images/content/2018-12/2018120709300914443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205642" cy="1495425"/>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42</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咸阳市常务副市长刘印生一行考察泾阳茯茶研发中心</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http://yyxy.nwafu.edu.cn/xyxw/408634.htm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12月6日，咸阳市常务副市长刘印生在副市长赵月为、咸阳市供销社主任韩彦霄、泾阳县县长拓魏峰、副县长谢保卫、泾阳县茯茶发展服务中心主任李岗、副主任吕雯等陪同下，考察了</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泾阳茯茶研发中心。</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16785" cy="1414145"/>
                  <wp:effectExtent l="19050" t="0" r="0" b="0"/>
                  <wp:docPr id="146" name="图片 45" descr="http://yyxy.nwafu.edu.cn/images/content/2018-12/2018121010480626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5" descr="http://yyxy.nwafu.edu.cn/images/content/2018-12/2018121010480626714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68639" cy="1447692"/>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43</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南京市政府统计局一行考察阎良蔬菜试验示范站</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http://yyxy.nwafu.edu.cn/xyxw/409037.htm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12月10日，南京市统计局党组书记、局长王国钧一行17人在西安市统计局党组书记、局长张民伟、阎良区农林局和阎良区区政府相关人员的陪同下，考察了</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阎良蔬菜试验示范站。</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075815" cy="1682115"/>
                  <wp:effectExtent l="19050" t="0" r="24" b="0"/>
                  <wp:docPr id="147" name="图片 46" descr="http://yyxy.nwafu.edu.cn/images/content/2018-12/2018121211235778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6" descr="http://yyxy.nwafu.edu.cn/images/content/2018-12/2018121211235778111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100024" cy="1701268"/>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44</w:t>
            </w:r>
          </w:p>
        </w:tc>
        <w:tc>
          <w:tcPr>
            <w:tcW w:w="2285"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美国佛罗里达大学Heqiang Huo博士来院交流</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http://yyxy.nwafu.edu.cn/xyxw/409297.htm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12月13日，美国佛罗里达大学（University of Florida）助理教授Heqiang Huo（霍合强）博士应邀来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进行学术交流，为学院师生做了题为“Genetic improvement of horticultural crops through QTL mapping and biotechnological tools”的学术报告。</w:t>
            </w:r>
          </w:p>
        </w:tc>
        <w:tc>
          <w:tcPr>
            <w:tcW w:w="405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085975" cy="1526540"/>
                  <wp:effectExtent l="19050" t="0" r="9333" b="0"/>
                  <wp:docPr id="148" name="图片 47" descr="http://yyxy.nwafu.edu.cn/images/content/2018-12/20181214094855701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7" descr="http://yyxy.nwafu.edu.cn/images/content/2018-12/2018121409485570137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128252" cy="1557677"/>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32" w:hRule="atLeast"/>
        </w:trPr>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45</w:t>
            </w:r>
          </w:p>
        </w:tc>
        <w:tc>
          <w:tcPr>
            <w:tcW w:w="2285" w:type="dxa"/>
            <w:vAlign w:val="center"/>
          </w:tcPr>
          <w:p>
            <w:pPr>
              <w:pStyle w:val="2"/>
              <w:shd w:val="clear" w:color="auto" w:fill="FFFFFF"/>
              <w:spacing w:before="0" w:after="0" w:line="360" w:lineRule="exact"/>
              <w:rPr>
                <w:rFonts w:ascii="Times New Roman" w:hAnsi="Times New Roman" w:eastAsia="仿宋_GB2312" w:cs="Times New Roman"/>
                <w:b w:val="0"/>
                <w:bCs w:val="0"/>
                <w:color w:val="000000" w:themeColor="text1"/>
                <w:kern w:val="2"/>
                <w:sz w:val="24"/>
                <w:szCs w:val="24"/>
              </w:rPr>
            </w:pPr>
            <w:bookmarkStart w:id="15" w:name="_Toc535227415"/>
            <w:r>
              <w:rPr>
                <w:rFonts w:ascii="Times New Roman" w:hAnsi="Times New Roman" w:eastAsia="仿宋_GB2312" w:cs="Times New Roman"/>
                <w:b w:val="0"/>
                <w:bCs w:val="0"/>
                <w:color w:val="000000" w:themeColor="text1"/>
                <w:kern w:val="2"/>
                <w:sz w:val="24"/>
                <w:szCs w:val="24"/>
              </w:rPr>
              <w:t>百色学院设施农业团队访问我院</w:t>
            </w:r>
            <w:bookmarkEnd w:id="15"/>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http://yyxy.nwafu.edu.cn/xyxw/410175.htm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12月21日，由中国农业大学陈青云教授带领的广西百色学院设施农业团队一行8人来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考察交流。</w:t>
            </w:r>
          </w:p>
        </w:tc>
        <w:tc>
          <w:tcPr>
            <w:tcW w:w="4059" w:type="dxa"/>
            <w:vAlign w:val="center"/>
          </w:tcPr>
          <w:p>
            <w:pPr>
              <w:snapToGrid w:val="0"/>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186940" cy="1586230"/>
                  <wp:effectExtent l="0" t="0" r="0" b="0"/>
                  <wp:docPr id="1" name="图片 1" descr="http://yyxy.nwafu.edu.cn/images/content/2018-12/2018122119294301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yyxy.nwafu.edu.cn/images/content/2018-12/20181221192943011654.JPG"/>
                          <pic:cNvPicPr>
                            <a:picLocks noChangeAspect="1" noChangeArrowheads="1"/>
                          </pic:cNvPicPr>
                        </pic:nvPicPr>
                        <pic:blipFill>
                          <a:blip r:embed="rId56"/>
                          <a:srcRect/>
                          <a:stretch>
                            <a:fillRect/>
                          </a:stretch>
                        </pic:blipFill>
                        <pic:spPr>
                          <a:xfrm>
                            <a:off x="0" y="0"/>
                            <a:ext cx="2196808" cy="1593592"/>
                          </a:xfrm>
                          <a:prstGeom prst="rect">
                            <a:avLst/>
                          </a:prstGeom>
                          <a:noFill/>
                          <a:ln w="9525">
                            <a:noFill/>
                            <a:miter lim="800000"/>
                            <a:headEnd/>
                            <a:tailEnd/>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46</w:t>
            </w:r>
          </w:p>
        </w:tc>
        <w:tc>
          <w:tcPr>
            <w:tcW w:w="2285" w:type="dxa"/>
            <w:vAlign w:val="center"/>
          </w:tcPr>
          <w:p>
            <w:pPr>
              <w:pStyle w:val="2"/>
              <w:shd w:val="clear" w:color="auto" w:fill="FFFFFF"/>
              <w:spacing w:before="0" w:after="0" w:line="360" w:lineRule="exact"/>
              <w:rPr>
                <w:rFonts w:ascii="Times New Roman" w:hAnsi="Times New Roman" w:eastAsia="仿宋_GB2312" w:cs="Times New Roman"/>
                <w:b w:val="0"/>
                <w:bCs w:val="0"/>
                <w:color w:val="000000" w:themeColor="text1"/>
                <w:kern w:val="2"/>
                <w:sz w:val="24"/>
                <w:szCs w:val="24"/>
              </w:rPr>
            </w:pPr>
            <w:bookmarkStart w:id="16" w:name="_Toc535227416"/>
            <w:r>
              <w:rPr>
                <w:rFonts w:ascii="Times New Roman" w:hAnsi="Times New Roman" w:eastAsia="仿宋_GB2312" w:cs="Times New Roman"/>
                <w:b w:val="0"/>
                <w:bCs w:val="0"/>
                <w:color w:val="000000" w:themeColor="text1"/>
                <w:kern w:val="2"/>
                <w:sz w:val="24"/>
                <w:szCs w:val="24"/>
              </w:rPr>
              <w:t>李天来院士为师生答疑解惑</w:t>
            </w:r>
            <w:bookmarkEnd w:id="16"/>
          </w:p>
        </w:tc>
        <w:tc>
          <w:tcPr>
            <w:tcW w:w="2552"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http://yyxy.nwafu.edu.cn/xyxw/410327.htm</w:t>
            </w:r>
          </w:p>
        </w:tc>
        <w:tc>
          <w:tcPr>
            <w:tcW w:w="4394" w:type="dxa"/>
            <w:vAlign w:val="center"/>
          </w:tcPr>
          <w:p>
            <w:pPr>
              <w:spacing w:line="360" w:lineRule="exact"/>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12月22日至23日，中国工程院院士、“学术院长”李天来教授来</w:t>
            </w: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rPr>
              <w:t>考察指导工作。</w:t>
            </w:r>
          </w:p>
        </w:tc>
        <w:tc>
          <w:tcPr>
            <w:tcW w:w="4059" w:type="dxa"/>
            <w:vAlign w:val="center"/>
          </w:tcPr>
          <w:p>
            <w:pPr>
              <w:snapToGrid w:val="0"/>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drawing>
                <wp:inline distT="0" distB="0" distL="0" distR="0">
                  <wp:extent cx="2223770" cy="1828800"/>
                  <wp:effectExtent l="19050" t="0" r="5034" b="0"/>
                  <wp:docPr id="4" name="图片 4" descr="http://yyxy.nwafu.edu.cn/images/content/2018-12/20181224155653201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yyxy.nwafu.edu.cn/images/content/2018-12/20181224155653201683.png"/>
                          <pic:cNvPicPr>
                            <a:picLocks noChangeAspect="1" noChangeArrowheads="1"/>
                          </pic:cNvPicPr>
                        </pic:nvPicPr>
                        <pic:blipFill>
                          <a:blip r:embed="rId57"/>
                          <a:srcRect/>
                          <a:stretch>
                            <a:fillRect/>
                          </a:stretch>
                        </pic:blipFill>
                        <pic:spPr>
                          <a:xfrm>
                            <a:off x="0" y="0"/>
                            <a:ext cx="2227536" cy="1831859"/>
                          </a:xfrm>
                          <a:prstGeom prst="rect">
                            <a:avLst/>
                          </a:prstGeom>
                          <a:noFill/>
                          <a:ln w="9525">
                            <a:noFill/>
                            <a:miter lim="800000"/>
                            <a:headEnd/>
                            <a:tailEnd/>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32" w:hRule="atLeast"/>
        </w:trPr>
        <w:tc>
          <w:tcPr>
            <w:tcW w:w="658" w:type="dxa"/>
            <w:vAlign w:val="center"/>
          </w:tcPr>
          <w:p>
            <w:pPr>
              <w:jc w:val="center"/>
              <w:rPr>
                <w:rFonts w:ascii="Times New Roman" w:hAnsi="Times New Roman" w:eastAsia="仿宋_GB2312" w:cs="Times New Roman"/>
                <w:color w:val="000000" w:themeColor="text1"/>
                <w:kern w:val="0"/>
                <w:sz w:val="24"/>
                <w:szCs w:val="24"/>
              </w:rPr>
            </w:pPr>
            <w:r>
              <w:rPr>
                <w:rFonts w:ascii="Times New Roman" w:hAnsi="Times New Roman" w:eastAsia="仿宋_GB2312" w:cs="Times New Roman"/>
                <w:color w:val="000000" w:themeColor="text1"/>
                <w:kern w:val="0"/>
                <w:sz w:val="24"/>
                <w:szCs w:val="24"/>
              </w:rPr>
              <w:t>47</w:t>
            </w:r>
          </w:p>
        </w:tc>
        <w:tc>
          <w:tcPr>
            <w:tcW w:w="2285" w:type="dxa"/>
            <w:vAlign w:val="center"/>
          </w:tcPr>
          <w:p>
            <w:pPr>
              <w:spacing w:line="360" w:lineRule="exact"/>
              <w:rPr>
                <w:rFonts w:ascii="Times New Roman" w:hAnsi="Times New Roman" w:eastAsia="仿宋_GB2312" w:cs="Times New Roman"/>
                <w:color w:val="000000" w:themeColor="text1"/>
                <w:sz w:val="24"/>
                <w:szCs w:val="24"/>
                <w:shd w:val="clear" w:color="auto" w:fill="FFFFFF"/>
              </w:rPr>
            </w:pPr>
            <w:r>
              <w:rPr>
                <w:rFonts w:ascii="Times New Roman" w:hAnsi="Times New Roman" w:eastAsia="仿宋_GB2312" w:cs="Times New Roman"/>
                <w:color w:val="000000" w:themeColor="text1"/>
                <w:sz w:val="24"/>
                <w:szCs w:val="24"/>
                <w:shd w:val="clear" w:color="auto" w:fill="FFFFFF"/>
              </w:rPr>
              <w:t>实验室安全教育周活动</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fldChar w:fldCharType="begin"/>
            </w:r>
            <w:r>
              <w:instrText xml:space="preserve"> HYPERLINK "http://news.nwsuaf.edu.cn/yxxw/80454.htm" </w:instrText>
            </w:r>
            <w:r>
              <w:fldChar w:fldCharType="separate"/>
            </w:r>
            <w:r>
              <w:rPr>
                <w:rStyle w:val="26"/>
                <w:rFonts w:ascii="Times New Roman" w:hAnsi="Times New Roman" w:eastAsia="仿宋_GB2312" w:cs="Times New Roman"/>
                <w:color w:val="000000" w:themeColor="text1"/>
                <w:sz w:val="24"/>
                <w:szCs w:val="24"/>
              </w:rPr>
              <w:t>http://news.nwsuaf.edu.cn/yxxw/80454.htm</w:t>
            </w:r>
            <w:r>
              <w:rPr>
                <w:rStyle w:val="26"/>
                <w:rFonts w:ascii="Times New Roman" w:hAnsi="Times New Roman" w:eastAsia="仿宋_GB2312" w:cs="Times New Roman"/>
                <w:color w:val="000000" w:themeColor="text1"/>
                <w:sz w:val="24"/>
                <w:szCs w:val="24"/>
              </w:rPr>
              <w:fldChar w:fldCharType="end"/>
            </w:r>
          </w:p>
          <w:p>
            <w:pPr>
              <w:spacing w:line="360" w:lineRule="exact"/>
              <w:rPr>
                <w:rFonts w:ascii="Times New Roman" w:hAnsi="Times New Roman" w:eastAsia="仿宋_GB2312" w:cs="Times New Roman"/>
                <w:color w:val="000000" w:themeColor="text1"/>
                <w:kern w:val="0"/>
                <w:sz w:val="24"/>
                <w:szCs w:val="24"/>
              </w:rPr>
            </w:pPr>
            <w:r>
              <w:fldChar w:fldCharType="begin"/>
            </w:r>
            <w:r>
              <w:instrText xml:space="preserve"> HYPERLINK "http://yyxy.nwafu.edu.cn/tzgg/377854.htm" </w:instrText>
            </w:r>
            <w:r>
              <w:fldChar w:fldCharType="separate"/>
            </w:r>
            <w:r>
              <w:rPr>
                <w:rStyle w:val="26"/>
                <w:rFonts w:ascii="Times New Roman" w:hAnsi="Times New Roman" w:eastAsia="仿宋_GB2312" w:cs="Times New Roman"/>
                <w:color w:val="000000" w:themeColor="text1"/>
                <w:sz w:val="24"/>
                <w:szCs w:val="24"/>
              </w:rPr>
              <w:t>http://yyxy.nwafu.edu.cn/tzgg/377854.htm</w:t>
            </w:r>
            <w:r>
              <w:rPr>
                <w:rStyle w:val="26"/>
                <w:rFonts w:ascii="Times New Roman" w:hAnsi="Times New Roman" w:eastAsia="仿宋_GB2312" w:cs="Times New Roman"/>
                <w:color w:val="000000" w:themeColor="text1"/>
                <w:sz w:val="24"/>
                <w:szCs w:val="24"/>
              </w:rPr>
              <w:fldChar w:fldCharType="end"/>
            </w:r>
          </w:p>
        </w:tc>
        <w:tc>
          <w:tcPr>
            <w:tcW w:w="4394" w:type="dxa"/>
            <w:vAlign w:val="center"/>
          </w:tcPr>
          <w:p>
            <w:pPr>
              <w:spacing w:line="360" w:lineRule="exact"/>
              <w:rPr>
                <w:rFonts w:ascii="Times New Roman" w:hAnsi="Times New Roman" w:eastAsia="仿宋_GB2312" w:cs="Times New Roman"/>
                <w:color w:val="000000" w:themeColor="text1"/>
                <w:kern w:val="0"/>
                <w:sz w:val="24"/>
                <w:szCs w:val="24"/>
              </w:rPr>
            </w:pPr>
            <w:r>
              <w:rPr>
                <w:rFonts w:hint="eastAsia" w:ascii="Times New Roman" w:hAnsi="Times New Roman" w:eastAsia="仿宋_GB2312" w:cs="Times New Roman"/>
                <w:color w:val="000000" w:themeColor="text1"/>
                <w:sz w:val="24"/>
                <w:szCs w:val="24"/>
              </w:rPr>
              <w:t>示范中心</w:t>
            </w:r>
            <w:r>
              <w:rPr>
                <w:rFonts w:ascii="Times New Roman" w:hAnsi="Times New Roman" w:eastAsia="仿宋_GB2312" w:cs="Times New Roman"/>
                <w:color w:val="000000" w:themeColor="text1"/>
                <w:sz w:val="24"/>
                <w:szCs w:val="24"/>
                <w:shd w:val="clear" w:color="auto" w:fill="FFFFFF"/>
              </w:rPr>
              <w:t>于1月15日至19日成功举办了以“提高安全意识, 养成安全习惯”为主题的“实验室安全周”活动，我校322名师生参加了本次培训活动。</w:t>
            </w:r>
          </w:p>
        </w:tc>
        <w:tc>
          <w:tcPr>
            <w:tcW w:w="4059" w:type="dxa"/>
            <w:vAlign w:val="center"/>
          </w:tcPr>
          <w:p>
            <w:pPr>
              <w:jc w:val="center"/>
              <w:rPr>
                <w:rFonts w:ascii="Times New Roman" w:hAnsi="Times New Roman" w:eastAsia="仿宋_GB2312" w:cs="Times New Roman"/>
                <w:color w:val="000000" w:themeColor="text1"/>
                <w:kern w:val="0"/>
                <w:sz w:val="24"/>
                <w:szCs w:val="24"/>
              </w:rPr>
            </w:pPr>
            <w:r>
              <w:rPr>
                <w:rFonts w:ascii="Times New Roman" w:hAnsi="Times New Roman" w:eastAsia="仿宋_GB2312" w:cs="Times New Roman"/>
                <w:color w:val="000000" w:themeColor="text1"/>
                <w:sz w:val="24"/>
                <w:szCs w:val="24"/>
              </w:rPr>
              <w:drawing>
                <wp:inline distT="0" distB="0" distL="0" distR="0">
                  <wp:extent cx="1828800" cy="1828800"/>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58" cstate="print"/>
                          <a:srcRect/>
                          <a:stretch>
                            <a:fillRect/>
                          </a:stretch>
                        </pic:blipFill>
                        <pic:spPr>
                          <a:xfrm>
                            <a:off x="0" y="0"/>
                            <a:ext cx="1827457" cy="1827457"/>
                          </a:xfrm>
                          <a:prstGeom prst="rect">
                            <a:avLst/>
                          </a:prstGeom>
                          <a:noFill/>
                          <a:ln w="9525">
                            <a:noFill/>
                            <a:miter lim="800000"/>
                            <a:headEnd/>
                            <a:tailEnd/>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8" w:type="dxa"/>
            <w:vAlign w:val="center"/>
          </w:tcPr>
          <w:p>
            <w:pPr>
              <w:jc w:val="center"/>
              <w:rPr>
                <w:rFonts w:ascii="Times New Roman" w:hAnsi="Times New Roman" w:eastAsia="仿宋_GB2312" w:cs="Times New Roman"/>
                <w:color w:val="000000" w:themeColor="text1"/>
                <w:kern w:val="0"/>
                <w:sz w:val="24"/>
                <w:szCs w:val="24"/>
              </w:rPr>
            </w:pPr>
            <w:r>
              <w:rPr>
                <w:rFonts w:ascii="Times New Roman" w:hAnsi="Times New Roman" w:eastAsia="仿宋_GB2312" w:cs="Times New Roman"/>
                <w:color w:val="000000" w:themeColor="text1"/>
                <w:kern w:val="0"/>
                <w:sz w:val="24"/>
                <w:szCs w:val="24"/>
              </w:rPr>
              <w:t>48</w:t>
            </w:r>
          </w:p>
        </w:tc>
        <w:tc>
          <w:tcPr>
            <w:tcW w:w="2285" w:type="dxa"/>
            <w:vAlign w:val="center"/>
          </w:tcPr>
          <w:p>
            <w:pPr>
              <w:spacing w:line="360" w:lineRule="exact"/>
              <w:rPr>
                <w:rFonts w:ascii="Times New Roman" w:hAnsi="Times New Roman" w:eastAsia="仿宋_GB2312" w:cs="Times New Roman"/>
                <w:color w:val="000000" w:themeColor="text1"/>
                <w:sz w:val="24"/>
                <w:szCs w:val="24"/>
                <w:shd w:val="clear" w:color="auto" w:fill="FFFFFF"/>
              </w:rPr>
            </w:pPr>
            <w:r>
              <w:rPr>
                <w:rFonts w:ascii="Times New Roman" w:hAnsi="Times New Roman" w:eastAsia="仿宋_GB2312" w:cs="Times New Roman"/>
                <w:color w:val="000000" w:themeColor="text1"/>
                <w:sz w:val="24"/>
                <w:szCs w:val="24"/>
                <w:shd w:val="clear" w:color="auto" w:fill="FFFFFF"/>
              </w:rPr>
              <w:t>农业部西北设施园艺工程重点实验室通过农业部投资项目延伸绩效管理实地复核</w:t>
            </w:r>
          </w:p>
        </w:tc>
        <w:tc>
          <w:tcPr>
            <w:tcW w:w="2552" w:type="dxa"/>
            <w:vAlign w:val="center"/>
          </w:tcPr>
          <w:p>
            <w:pPr>
              <w:spacing w:line="360" w:lineRule="exact"/>
              <w:rPr>
                <w:rFonts w:ascii="Times New Roman" w:hAnsi="Times New Roman" w:eastAsia="仿宋_GB2312" w:cs="Times New Roman"/>
                <w:color w:val="000000" w:themeColor="text1"/>
                <w:sz w:val="24"/>
                <w:szCs w:val="24"/>
              </w:rPr>
            </w:pPr>
            <w:r>
              <w:fldChar w:fldCharType="begin"/>
            </w:r>
            <w:r>
              <w:instrText xml:space="preserve"> HYPERLINK "http://yyxy.nwafu.edu.cn/xyxw/382050.htm" </w:instrText>
            </w:r>
            <w:r>
              <w:fldChar w:fldCharType="separate"/>
            </w:r>
            <w:r>
              <w:rPr>
                <w:rStyle w:val="25"/>
                <w:rFonts w:ascii="Times New Roman" w:hAnsi="Times New Roman" w:eastAsia="仿宋_GB2312" w:cs="Times New Roman"/>
                <w:color w:val="000000" w:themeColor="text1"/>
                <w:sz w:val="24"/>
                <w:szCs w:val="24"/>
              </w:rPr>
              <w:t>http://yyxy.nwafu.edu.cn/xyxw/382050.htm</w:t>
            </w:r>
            <w:r>
              <w:rPr>
                <w:rStyle w:val="25"/>
                <w:rFonts w:ascii="Times New Roman" w:hAnsi="Times New Roman" w:eastAsia="仿宋_GB2312" w:cs="Times New Roman"/>
                <w:color w:val="000000" w:themeColor="text1"/>
                <w:sz w:val="24"/>
                <w:szCs w:val="24"/>
              </w:rPr>
              <w:fldChar w:fldCharType="end"/>
            </w:r>
          </w:p>
        </w:tc>
        <w:tc>
          <w:tcPr>
            <w:tcW w:w="4394" w:type="dxa"/>
            <w:vAlign w:val="center"/>
          </w:tcPr>
          <w:p>
            <w:pPr>
              <w:spacing w:line="360" w:lineRule="exact"/>
              <w:rPr>
                <w:rFonts w:ascii="Times New Roman" w:hAnsi="Times New Roman" w:eastAsia="仿宋_GB2312" w:cs="Times New Roman"/>
                <w:color w:val="000000" w:themeColor="text1"/>
                <w:sz w:val="24"/>
                <w:szCs w:val="24"/>
                <w:shd w:val="clear" w:color="auto" w:fill="FFFFFF"/>
              </w:rPr>
            </w:pPr>
            <w:r>
              <w:rPr>
                <w:rFonts w:ascii="Times New Roman" w:hAnsi="Times New Roman" w:eastAsia="仿宋_GB2312" w:cs="Times New Roman"/>
                <w:color w:val="000000" w:themeColor="text1"/>
                <w:sz w:val="24"/>
                <w:szCs w:val="24"/>
                <w:shd w:val="clear" w:color="auto" w:fill="FFFFFF"/>
              </w:rPr>
              <w:t>3月19日，由农业部工程建设服务中心项目监管处、中国农业科学院农业环境与可持续发展研究所、北京东方畅想建筑设计有限公司、中国国学研究与交流中心的技术、工程专家来</w:t>
            </w:r>
            <w:r>
              <w:rPr>
                <w:rFonts w:hint="eastAsia" w:ascii="Times New Roman" w:hAnsi="Times New Roman" w:eastAsia="仿宋_GB2312" w:cs="Times New Roman"/>
                <w:color w:val="000000" w:themeColor="text1"/>
                <w:sz w:val="24"/>
                <w:szCs w:val="24"/>
              </w:rPr>
              <w:t>示范中心指导工作</w:t>
            </w:r>
            <w:r>
              <w:rPr>
                <w:rFonts w:ascii="Times New Roman" w:hAnsi="Times New Roman" w:eastAsia="仿宋_GB2312" w:cs="Times New Roman"/>
                <w:color w:val="000000" w:themeColor="text1"/>
                <w:sz w:val="24"/>
                <w:szCs w:val="24"/>
                <w:shd w:val="clear" w:color="auto" w:fill="FFFFFF"/>
              </w:rPr>
              <w:t>。</w:t>
            </w:r>
          </w:p>
        </w:tc>
        <w:tc>
          <w:tcPr>
            <w:tcW w:w="4059" w:type="dxa"/>
            <w:vAlign w:val="center"/>
          </w:tcPr>
          <w:p>
            <w:pPr>
              <w:jc w:val="center"/>
              <w:rPr>
                <w:rFonts w:ascii="Times New Roman" w:hAnsi="Times New Roman" w:eastAsia="仿宋_GB2312" w:cs="Times New Roman"/>
                <w:color w:val="000000" w:themeColor="text1"/>
                <w:kern w:val="0"/>
                <w:sz w:val="24"/>
                <w:szCs w:val="24"/>
              </w:rPr>
            </w:pPr>
            <w:r>
              <w:rPr>
                <w:rFonts w:ascii="Times New Roman" w:hAnsi="Times New Roman" w:eastAsia="仿宋_GB2312" w:cs="Times New Roman"/>
                <w:color w:val="000000" w:themeColor="text1"/>
                <w:sz w:val="24"/>
                <w:szCs w:val="24"/>
              </w:rPr>
              <w:drawing>
                <wp:inline distT="0" distB="0" distL="0" distR="0">
                  <wp:extent cx="2441575" cy="1371600"/>
                  <wp:effectExtent l="1905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noChangeArrowheads="1"/>
                          </pic:cNvPicPr>
                        </pic:nvPicPr>
                        <pic:blipFill>
                          <a:blip r:embed="rId59" cstate="print"/>
                          <a:srcRect/>
                          <a:stretch>
                            <a:fillRect/>
                          </a:stretch>
                        </pic:blipFill>
                        <pic:spPr>
                          <a:xfrm>
                            <a:off x="0" y="0"/>
                            <a:ext cx="2441575" cy="1371600"/>
                          </a:xfrm>
                          <a:prstGeom prst="rect">
                            <a:avLst/>
                          </a:prstGeom>
                          <a:noFill/>
                          <a:ln w="9525">
                            <a:noFill/>
                            <a:miter lim="800000"/>
                            <a:headEnd/>
                            <a:tailEnd/>
                          </a:ln>
                        </pic:spPr>
                      </pic:pic>
                    </a:graphicData>
                  </a:graphic>
                </wp:inline>
              </w:drawing>
            </w:r>
          </w:p>
        </w:tc>
      </w:tr>
    </w:tbl>
    <w:p>
      <w:pPr>
        <w:ind w:firstLine="420" w:firstLineChars="200"/>
        <w:rPr>
          <w:rFonts w:ascii="Times New Roman" w:hAnsi="Times New Roman" w:eastAsia="楷体_GB2312" w:cs="Times New Roman"/>
          <w:color w:val="000000" w:themeColor="text1"/>
        </w:rPr>
        <w:sectPr>
          <w:pgSz w:w="16838" w:h="11906" w:orient="landscape"/>
          <w:pgMar w:top="1418" w:right="1418" w:bottom="1134" w:left="1418" w:header="851" w:footer="992" w:gutter="0"/>
          <w:cols w:space="425" w:num="1"/>
          <w:docGrid w:type="linesAndChars" w:linePitch="312" w:charSpace="0"/>
        </w:sectPr>
      </w:pPr>
    </w:p>
    <w:bookmarkEnd w:id="14"/>
    <w:p>
      <w:pPr>
        <w:pStyle w:val="3"/>
        <w:spacing w:before="156" w:beforeLines="50" w:after="156" w:afterLines="50" w:line="500" w:lineRule="exact"/>
        <w:rPr>
          <w:rFonts w:ascii="Times New Roman" w:hAnsi="Times New Roman" w:eastAsia="黑体" w:cs="Times New Roman"/>
          <w:b w:val="0"/>
          <w:color w:val="000000" w:themeColor="text1"/>
        </w:rPr>
      </w:pPr>
      <w:bookmarkStart w:id="17" w:name="_Toc535227417"/>
      <w:r>
        <w:rPr>
          <w:rFonts w:ascii="Times New Roman" w:hAnsi="Times New Roman" w:eastAsia="黑体" w:cs="Times New Roman"/>
          <w:b w:val="0"/>
          <w:color w:val="000000" w:themeColor="text1"/>
        </w:rPr>
        <w:t>六、示范中心存在的主要问题</w:t>
      </w:r>
      <w:bookmarkEnd w:id="17"/>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加强实验中心教学指导委员会组织建设和年度工作会议，提升示范中心的日常业务管理和示范功能建设。</w:t>
      </w:r>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实验队伍建设需要加强，实验人员考核管理办法需要完善。</w:t>
      </w:r>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现有研究平台和技术体系不完善，没有建立起完善的系统性的实验技术体系和标准。</w:t>
      </w:r>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4</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以示范中心为核心加强面向专业人才培养创新创业实践平台信息化、体制机制建设需要加强。</w:t>
      </w:r>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5</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进一步加大示范中心的开放力度和发挥示范引领作用。</w:t>
      </w:r>
    </w:p>
    <w:p>
      <w:pPr>
        <w:pStyle w:val="3"/>
        <w:spacing w:before="156" w:beforeLines="50" w:after="156" w:afterLines="50" w:line="500" w:lineRule="exact"/>
        <w:rPr>
          <w:rFonts w:ascii="Times New Roman" w:hAnsi="Times New Roman" w:eastAsia="黑体" w:cs="Times New Roman"/>
          <w:b w:val="0"/>
          <w:color w:val="000000" w:themeColor="text1"/>
        </w:rPr>
      </w:pPr>
      <w:bookmarkStart w:id="18" w:name="_Toc535227418"/>
      <w:r>
        <w:rPr>
          <w:rFonts w:ascii="Times New Roman" w:hAnsi="Times New Roman" w:eastAsia="黑体" w:cs="Times New Roman"/>
          <w:b w:val="0"/>
          <w:color w:val="000000" w:themeColor="text1"/>
        </w:rPr>
        <w:t>七、</w:t>
      </w:r>
      <w:bookmarkStart w:id="19" w:name="OLE_LINK63"/>
      <w:bookmarkStart w:id="20" w:name="OLE_LINK65"/>
      <w:bookmarkStart w:id="21" w:name="OLE_LINK66"/>
      <w:bookmarkStart w:id="22" w:name="OLE_LINK67"/>
      <w:bookmarkStart w:id="23" w:name="OLE_LINK62"/>
      <w:bookmarkStart w:id="24" w:name="OLE_LINK54"/>
      <w:bookmarkStart w:id="25" w:name="OLE_LINK58"/>
      <w:bookmarkStart w:id="26" w:name="OLE_LINK60"/>
      <w:bookmarkStart w:id="27" w:name="OLE_LINK72"/>
      <w:bookmarkStart w:id="28" w:name="OLE_LINK71"/>
      <w:bookmarkStart w:id="29" w:name="OLE_LINK73"/>
      <w:bookmarkStart w:id="30" w:name="OLE_LINK61"/>
      <w:bookmarkStart w:id="31" w:name="OLE_LINK57"/>
      <w:bookmarkStart w:id="32" w:name="OLE_LINK64"/>
      <w:bookmarkStart w:id="33" w:name="OLE_LINK59"/>
      <w:bookmarkStart w:id="34" w:name="OLE_LINK56"/>
      <w:bookmarkStart w:id="35" w:name="OLE_LINK75"/>
      <w:bookmarkStart w:id="36" w:name="OLE_LINK76"/>
      <w:bookmarkStart w:id="37" w:name="OLE_LINK78"/>
      <w:bookmarkStart w:id="38" w:name="OLE_LINK90"/>
      <w:bookmarkStart w:id="39" w:name="OLE_LINK91"/>
      <w:bookmarkStart w:id="40" w:name="OLE_LINK94"/>
      <w:bookmarkStart w:id="41" w:name="OLE_LINK96"/>
      <w:bookmarkStart w:id="42" w:name="OLE_LINK100"/>
      <w:bookmarkStart w:id="43" w:name="OLE_LINK95"/>
      <w:bookmarkStart w:id="44" w:name="OLE_LINK99"/>
      <w:bookmarkStart w:id="45" w:name="OLE_LINK102"/>
      <w:bookmarkStart w:id="46" w:name="OLE_LINK74"/>
      <w:bookmarkStart w:id="47" w:name="OLE_LINK83"/>
      <w:bookmarkStart w:id="48" w:name="OLE_LINK84"/>
      <w:bookmarkStart w:id="49" w:name="OLE_LINK92"/>
      <w:bookmarkStart w:id="50" w:name="OLE_LINK88"/>
      <w:bookmarkStart w:id="51" w:name="OLE_LINK85"/>
      <w:bookmarkStart w:id="52" w:name="OLE_LINK80"/>
      <w:bookmarkStart w:id="53" w:name="OLE_LINK101"/>
      <w:bookmarkStart w:id="54" w:name="OLE_LINK82"/>
      <w:bookmarkStart w:id="55" w:name="OLE_LINK70"/>
      <w:bookmarkStart w:id="56" w:name="OLE_LINK87"/>
      <w:bookmarkStart w:id="57" w:name="OLE_LINK98"/>
      <w:bookmarkStart w:id="58" w:name="OLE_LINK69"/>
      <w:bookmarkStart w:id="59" w:name="OLE_LINK97"/>
      <w:bookmarkStart w:id="60" w:name="OLE_LINK86"/>
      <w:bookmarkStart w:id="61" w:name="OLE_LINK77"/>
      <w:bookmarkStart w:id="62" w:name="OLE_LINK79"/>
      <w:bookmarkStart w:id="63" w:name="OLE_LINK93"/>
      <w:bookmarkStart w:id="64" w:name="OLE_LINK68"/>
      <w:bookmarkStart w:id="65" w:name="OLE_LINK3"/>
      <w:bookmarkStart w:id="66" w:name="OLE_LINK15"/>
      <w:bookmarkStart w:id="67" w:name="OLE_LINK17"/>
      <w:bookmarkStart w:id="68" w:name="OLE_LINK81"/>
      <w:bookmarkStart w:id="69" w:name="OLE_LINK11"/>
      <w:bookmarkStart w:id="70" w:name="OLE_LINK89"/>
      <w:bookmarkStart w:id="71" w:name="OLE_LINK7"/>
      <w:bookmarkStart w:id="72" w:name="OLE_LINK8"/>
      <w:bookmarkStart w:id="73" w:name="OLE_LINK1"/>
      <w:bookmarkStart w:id="74" w:name="OLE_LINK5"/>
      <w:bookmarkStart w:id="75" w:name="OLE_LINK4"/>
      <w:bookmarkStart w:id="76" w:name="OLE_LINK16"/>
      <w:bookmarkStart w:id="77" w:name="OLE_LINK18"/>
      <w:bookmarkStart w:id="78" w:name="OLE_LINK19"/>
      <w:bookmarkStart w:id="79" w:name="OLE_LINK20"/>
      <w:bookmarkStart w:id="80" w:name="OLE_LINK27"/>
      <w:bookmarkStart w:id="81" w:name="OLE_LINK14"/>
      <w:bookmarkStart w:id="82" w:name="OLE_LINK6"/>
      <w:bookmarkStart w:id="83" w:name="OLE_LINK23"/>
      <w:bookmarkStart w:id="84" w:name="OLE_LINK12"/>
      <w:bookmarkStart w:id="85" w:name="OLE_LINK2"/>
      <w:bookmarkStart w:id="86" w:name="OLE_LINK26"/>
      <w:bookmarkStart w:id="87" w:name="OLE_LINK9"/>
      <w:bookmarkStart w:id="88" w:name="OLE_LINK13"/>
      <w:bookmarkStart w:id="89" w:name="OLE_LINK24"/>
      <w:bookmarkStart w:id="90" w:name="OLE_LINK25"/>
      <w:bookmarkStart w:id="91" w:name="OLE_LINK22"/>
      <w:bookmarkStart w:id="92" w:name="OLE_LINK103"/>
      <w:bookmarkStart w:id="93" w:name="OLE_LINK21"/>
      <w:bookmarkStart w:id="94" w:name="OLE_LINK10"/>
      <w:bookmarkStart w:id="95" w:name="OLE_LINK46"/>
      <w:bookmarkStart w:id="96" w:name="OLE_LINK29"/>
      <w:bookmarkStart w:id="97" w:name="OLE_LINK34"/>
      <w:bookmarkStart w:id="98" w:name="OLE_LINK30"/>
      <w:bookmarkStart w:id="99" w:name="OLE_LINK32"/>
      <w:bookmarkStart w:id="100" w:name="OLE_LINK28"/>
      <w:bookmarkStart w:id="101" w:name="OLE_LINK36"/>
      <w:bookmarkStart w:id="102" w:name="OLE_LINK33"/>
      <w:bookmarkStart w:id="103" w:name="OLE_LINK35"/>
      <w:bookmarkStart w:id="104" w:name="OLE_LINK37"/>
      <w:bookmarkStart w:id="105" w:name="OLE_LINK39"/>
      <w:bookmarkStart w:id="106" w:name="OLE_LINK40"/>
      <w:bookmarkStart w:id="107" w:name="OLE_LINK41"/>
      <w:bookmarkStart w:id="108" w:name="OLE_LINK31"/>
      <w:bookmarkStart w:id="109" w:name="OLE_LINK38"/>
      <w:bookmarkStart w:id="110" w:name="OLE_LINK42"/>
      <w:bookmarkStart w:id="111" w:name="OLE_LINK43"/>
      <w:bookmarkStart w:id="112" w:name="OLE_LINK47"/>
      <w:bookmarkStart w:id="113" w:name="OLE_LINK45"/>
      <w:bookmarkStart w:id="114" w:name="OLE_LINK48"/>
      <w:bookmarkStart w:id="115" w:name="OLE_LINK49"/>
      <w:bookmarkStart w:id="116" w:name="OLE_LINK50"/>
      <w:bookmarkStart w:id="117" w:name="OLE_LINK51"/>
      <w:bookmarkStart w:id="118" w:name="OLE_LINK44"/>
      <w:bookmarkStart w:id="119" w:name="OLE_LINK55"/>
      <w:bookmarkStart w:id="120" w:name="OLE_LINK52"/>
      <w:bookmarkStart w:id="121" w:name="OLE_LINK53"/>
      <w:r>
        <w:rPr>
          <w:rFonts w:ascii="Times New Roman" w:hAnsi="Times New Roman" w:eastAsia="黑体" w:cs="Times New Roman"/>
          <w:b w:val="0"/>
          <w:color w:val="000000" w:themeColor="text1"/>
        </w:rPr>
        <w:t>所在学校与学校上级主管部门</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ascii="Times New Roman" w:hAnsi="Times New Roman" w:eastAsia="黑体" w:cs="Times New Roman"/>
          <w:b w:val="0"/>
          <w:color w:val="000000" w:themeColor="text1"/>
        </w:rPr>
        <w:t>的支持</w:t>
      </w:r>
      <w:bookmarkEnd w:id="18"/>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自主设置园艺科学研究中心内部业务机构和岗位，自主选聘管理人员，自主确定薪酬分配，自主建立人员流动与退出管理机制，并制定了《园艺科学研究中心工作人员岗位职责》、《园艺科学研究中心工作人员考核办法》。</w:t>
      </w:r>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完成园艺科学研究中心、生物信息学实验室建设工作，实现大型仪器设备开放共享，提高大型仪器设备使用率，并制定了《园艺科学研究中心仪器设备管理及运行办法》、《园艺科学研究中心平台管理制度》。</w:t>
      </w:r>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学校依托我院举办了科研基地组织模式创新工作经验交流现场会，我院园艺科学研究中心举办的多次仪器使用介绍会和讲座，规范了学生的安全操作；生物信息学实验室满足了师生对生物信息分析的需求，实验室的建设运行模式得到大家的一致认可；中心为广大师生尤其是新进教工顺利开展研究工作提供了便利和帮助，实现了大型仪器设备开放共享，提高了大型仪器设备使用率。</w:t>
      </w:r>
    </w:p>
    <w:p>
      <w:pPr>
        <w:pStyle w:val="3"/>
        <w:spacing w:before="156" w:beforeLines="50" w:after="156" w:afterLines="50" w:line="500" w:lineRule="exact"/>
        <w:rPr>
          <w:rFonts w:ascii="Times New Roman" w:hAnsi="Times New Roman" w:eastAsia="黑体" w:cs="Times New Roman"/>
          <w:b w:val="0"/>
          <w:color w:val="000000" w:themeColor="text1"/>
          <w:sz w:val="28"/>
          <w:szCs w:val="28"/>
        </w:rPr>
      </w:pPr>
      <w:bookmarkStart w:id="122" w:name="_Toc535227419"/>
      <w:r>
        <w:rPr>
          <w:rFonts w:ascii="Times New Roman" w:hAnsi="Times New Roman" w:eastAsia="黑体" w:cs="Times New Roman"/>
          <w:b w:val="0"/>
          <w:color w:val="000000" w:themeColor="text1"/>
          <w:sz w:val="28"/>
          <w:szCs w:val="28"/>
        </w:rPr>
        <w:t>下一年发展思路</w:t>
      </w:r>
      <w:bookmarkEnd w:id="122"/>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1</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成立校内外同行专家组成教学指导委员会，开展教学工作咨询和指导，每年度召开示范中心教学工作会议1-2次，重大事项决策通过会议纪要等形式公开，提升运行管理的透明度。改版升级网站，及时发布科研进展、学术交流等信息。</w:t>
      </w:r>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2</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组织开展实验技术人员水平提升计划，加强技术保障能力建设，支持实验技术人员开展科研创新、技术研究。完善技术人员的考核与激励制度，调动积极性。</w:t>
      </w:r>
    </w:p>
    <w:p>
      <w:pPr>
        <w:spacing w:line="500" w:lineRule="exact"/>
        <w:ind w:firstLine="560"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color w:val="000000" w:themeColor="text1"/>
          <w:sz w:val="28"/>
          <w:szCs w:val="28"/>
        </w:rPr>
        <w:t>3</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加大开放力度，示范引领中西部高校双创教育育人实践平台建设。</w:t>
      </w:r>
    </w:p>
    <w:p>
      <w:pPr>
        <w:pStyle w:val="3"/>
        <w:spacing w:before="156" w:beforeLines="50" w:after="156" w:afterLines="50" w:line="500" w:lineRule="exact"/>
        <w:rPr>
          <w:rFonts w:ascii="Times New Roman" w:hAnsi="Times New Roman" w:eastAsia="黑体" w:cs="Times New Roman"/>
          <w:b w:val="0"/>
          <w:color w:val="000000" w:themeColor="text1"/>
          <w:sz w:val="28"/>
          <w:szCs w:val="28"/>
        </w:rPr>
      </w:pPr>
      <w:bookmarkStart w:id="123" w:name="_Toc535227420"/>
      <w:r>
        <w:rPr>
          <w:rFonts w:ascii="Times New Roman" w:hAnsi="Times New Roman" w:eastAsia="黑体" w:cs="Times New Roman"/>
          <w:b w:val="0"/>
          <w:color w:val="000000" w:themeColor="text1"/>
          <w:sz w:val="28"/>
          <w:szCs w:val="28"/>
        </w:rPr>
        <w:t>注意事项及说明：</w:t>
      </w:r>
      <w:bookmarkEnd w:id="123"/>
    </w:p>
    <w:p>
      <w:pPr>
        <w:spacing w:line="500" w:lineRule="exact"/>
        <w:ind w:firstLine="560" w:firstLineChars="200"/>
        <w:rPr>
          <w:rFonts w:ascii="Times New Roman" w:hAnsi="Times New Roman" w:eastAsia="楷体" w:cs="Times New Roman"/>
          <w:color w:val="000000" w:themeColor="text1"/>
          <w:sz w:val="28"/>
          <w:szCs w:val="28"/>
        </w:rPr>
      </w:pPr>
      <w:r>
        <w:rPr>
          <w:rFonts w:ascii="Times New Roman" w:hAnsi="Times New Roman" w:eastAsia="楷体" w:cs="Times New Roman"/>
          <w:color w:val="000000" w:themeColor="text1"/>
          <w:sz w:val="28"/>
          <w:szCs w:val="28"/>
        </w:rPr>
        <w:t>1</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文中内容与后面示范中心数据相对应，必须客观真实，避免使用“国内领先”、“国际一流”等词。</w:t>
      </w:r>
    </w:p>
    <w:p>
      <w:pPr>
        <w:spacing w:line="500" w:lineRule="exact"/>
        <w:ind w:firstLine="560" w:firstLineChars="200"/>
        <w:rPr>
          <w:rFonts w:ascii="Times New Roman" w:hAnsi="Times New Roman" w:eastAsia="楷体" w:cs="Times New Roman"/>
          <w:color w:val="000000" w:themeColor="text1"/>
          <w:sz w:val="28"/>
          <w:szCs w:val="28"/>
        </w:rPr>
      </w:pPr>
      <w:r>
        <w:rPr>
          <w:rFonts w:ascii="Times New Roman" w:hAnsi="Times New Roman" w:eastAsia="楷体" w:cs="Times New Roman"/>
          <w:color w:val="000000" w:themeColor="text1"/>
          <w:sz w:val="28"/>
          <w:szCs w:val="28"/>
        </w:rPr>
        <w:t>2</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文中介绍的成果必须具有示范中心的署名。</w:t>
      </w:r>
    </w:p>
    <w:p>
      <w:pPr>
        <w:spacing w:line="500" w:lineRule="exact"/>
        <w:ind w:firstLine="560" w:firstLineChars="200"/>
        <w:rPr>
          <w:rFonts w:ascii="Times New Roman" w:hAnsi="Times New Roman" w:eastAsia="黑体" w:cs="Times New Roman"/>
          <w:bCs/>
          <w:color w:val="000000" w:themeColor="text1"/>
          <w:kern w:val="44"/>
          <w:sz w:val="40"/>
          <w:szCs w:val="44"/>
        </w:rPr>
      </w:pPr>
      <w:r>
        <w:rPr>
          <w:rFonts w:ascii="Times New Roman" w:hAnsi="Times New Roman" w:eastAsia="楷体" w:cs="Times New Roman"/>
          <w:color w:val="000000" w:themeColor="text1"/>
          <w:sz w:val="28"/>
          <w:szCs w:val="28"/>
        </w:rPr>
        <w:t>3</w:t>
      </w:r>
      <w:r>
        <w:rPr>
          <w:rFonts w:hint="eastAsia" w:ascii="Times New Roman" w:hAnsi="Times New Roman" w:eastAsia="楷体" w:cs="Times New Roman"/>
          <w:color w:val="000000" w:themeColor="text1"/>
          <w:sz w:val="28"/>
          <w:szCs w:val="28"/>
        </w:rPr>
        <w:t>．</w:t>
      </w:r>
      <w:r>
        <w:rPr>
          <w:rFonts w:ascii="Times New Roman" w:hAnsi="Times New Roman" w:eastAsia="楷体" w:cs="Times New Roman"/>
          <w:color w:val="000000" w:themeColor="text1"/>
          <w:sz w:val="28"/>
          <w:szCs w:val="28"/>
        </w:rPr>
        <w:t>年度报告的表格行数可据实调整，不设附件，请做好相关成果支撑材料的存档工作。</w:t>
      </w:r>
      <w:r>
        <w:rPr>
          <w:rFonts w:ascii="Times New Roman" w:hAnsi="Times New Roman" w:eastAsia="黑体" w:cs="Times New Roman"/>
          <w:b/>
          <w:color w:val="000000" w:themeColor="text1"/>
          <w:sz w:val="40"/>
        </w:rPr>
        <w:br w:type="page"/>
      </w:r>
    </w:p>
    <w:p>
      <w:pPr>
        <w:pStyle w:val="2"/>
        <w:spacing w:before="312" w:beforeLines="100" w:after="312" w:afterLines="100" w:line="240" w:lineRule="auto"/>
        <w:jc w:val="center"/>
        <w:rPr>
          <w:rFonts w:ascii="Times New Roman" w:hAnsi="Times New Roman" w:eastAsia="黑体" w:cs="Times New Roman"/>
          <w:b w:val="0"/>
          <w:color w:val="000000" w:themeColor="text1"/>
          <w:sz w:val="40"/>
        </w:rPr>
      </w:pPr>
      <w:bookmarkStart w:id="124" w:name="_Toc535227421"/>
      <w:r>
        <w:rPr>
          <w:rFonts w:ascii="Times New Roman" w:hAnsi="Times New Roman" w:eastAsia="黑体" w:cs="Times New Roman"/>
          <w:b w:val="0"/>
          <w:color w:val="000000" w:themeColor="text1"/>
          <w:sz w:val="40"/>
        </w:rPr>
        <w:t>第二部分示范中心数据</w:t>
      </w:r>
      <w:bookmarkEnd w:id="124"/>
    </w:p>
    <w:p>
      <w:pPr>
        <w:spacing w:after="312" w:afterLines="100"/>
        <w:jc w:val="center"/>
        <w:rPr>
          <w:rFonts w:ascii="Times New Roman" w:hAnsi="Times New Roman" w:eastAsia="楷体" w:cs="Times New Roman"/>
          <w:b/>
          <w:bCs/>
          <w:color w:val="000000" w:themeColor="text1"/>
          <w:w w:val="90"/>
          <w:sz w:val="28"/>
          <w:szCs w:val="28"/>
        </w:rPr>
      </w:pPr>
      <w:r>
        <w:rPr>
          <w:rFonts w:ascii="Times New Roman" w:hAnsi="Times New Roman" w:eastAsia="楷体" w:cs="Times New Roman"/>
          <w:b/>
          <w:bCs/>
          <w:color w:val="000000" w:themeColor="text1"/>
          <w:w w:val="90"/>
          <w:sz w:val="28"/>
          <w:szCs w:val="28"/>
        </w:rPr>
        <w:t>（</w:t>
      </w:r>
      <w:r>
        <w:rPr>
          <w:rFonts w:ascii="Times New Roman" w:hAnsi="Times New Roman" w:eastAsia="楷体" w:cs="Times New Roman"/>
          <w:color w:val="000000" w:themeColor="text1"/>
          <w:w w:val="90"/>
          <w:sz w:val="28"/>
          <w:szCs w:val="28"/>
        </w:rPr>
        <w:t>数据采集时间为 1月1日至12月31日</w:t>
      </w:r>
      <w:r>
        <w:rPr>
          <w:rFonts w:ascii="Times New Roman" w:hAnsi="Times New Roman" w:eastAsia="楷体" w:cs="Times New Roman"/>
          <w:b/>
          <w:bCs/>
          <w:color w:val="000000" w:themeColor="text1"/>
          <w:w w:val="90"/>
          <w:sz w:val="28"/>
          <w:szCs w:val="28"/>
        </w:rPr>
        <w:t>）</w:t>
      </w:r>
    </w:p>
    <w:p>
      <w:pPr>
        <w:pStyle w:val="3"/>
        <w:spacing w:before="156" w:beforeLines="50" w:after="156" w:afterLines="50" w:line="500" w:lineRule="exact"/>
        <w:rPr>
          <w:rFonts w:ascii="Times New Roman" w:hAnsi="Times New Roman" w:eastAsia="黑体" w:cs="Times New Roman"/>
          <w:b w:val="0"/>
          <w:color w:val="000000" w:themeColor="text1"/>
        </w:rPr>
      </w:pPr>
      <w:bookmarkStart w:id="125" w:name="_Toc535227422"/>
      <w:r>
        <w:rPr>
          <w:rFonts w:ascii="Times New Roman" w:hAnsi="Times New Roman" w:eastAsia="黑体" w:cs="Times New Roman"/>
          <w:b w:val="0"/>
          <w:color w:val="000000" w:themeColor="text1"/>
        </w:rPr>
        <w:t>一、示范中心基本情况</w:t>
      </w:r>
      <w:bookmarkEnd w:id="125"/>
    </w:p>
    <w:tbl>
      <w:tblPr>
        <w:tblStyle w:val="23"/>
        <w:tblW w:w="928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90"/>
        <w:gridCol w:w="1210"/>
        <w:gridCol w:w="427"/>
        <w:gridCol w:w="944"/>
        <w:gridCol w:w="275"/>
        <w:gridCol w:w="1642"/>
        <w:gridCol w:w="1472"/>
        <w:gridCol w:w="230"/>
        <w:gridCol w:w="149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2" w:hRule="atLeast"/>
        </w:trPr>
        <w:tc>
          <w:tcPr>
            <w:tcW w:w="2800" w:type="dxa"/>
            <w:gridSpan w:val="2"/>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示范中心名称</w:t>
            </w:r>
          </w:p>
        </w:tc>
        <w:tc>
          <w:tcPr>
            <w:tcW w:w="6482" w:type="dxa"/>
            <w:gridSpan w:val="7"/>
            <w:vAlign w:val="center"/>
          </w:tcPr>
          <w:p>
            <w:pPr>
              <w:jc w:val="center"/>
              <w:rPr>
                <w:rFonts w:ascii="Times New Roman" w:hAnsi="Times New Roman" w:eastAsia="黑体" w:cs="Times New Roman"/>
                <w:color w:val="000000" w:themeColor="text1"/>
                <w:sz w:val="28"/>
                <w:szCs w:val="28"/>
              </w:rPr>
            </w:pPr>
            <w:r>
              <w:rPr>
                <w:rFonts w:ascii="Times New Roman" w:hAnsi="Times New Roman" w:eastAsia="楷体" w:cs="Times New Roman"/>
                <w:color w:val="000000" w:themeColor="text1"/>
                <w:sz w:val="28"/>
                <w:szCs w:val="28"/>
              </w:rPr>
              <w:t>园艺实验教学示范中心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49" w:hRule="atLeast"/>
        </w:trPr>
        <w:tc>
          <w:tcPr>
            <w:tcW w:w="2800" w:type="dxa"/>
            <w:gridSpan w:val="2"/>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所在学校名称</w:t>
            </w:r>
          </w:p>
        </w:tc>
        <w:tc>
          <w:tcPr>
            <w:tcW w:w="6482" w:type="dxa"/>
            <w:gridSpan w:val="7"/>
            <w:vAlign w:val="center"/>
          </w:tcPr>
          <w:p>
            <w:pPr>
              <w:jc w:val="center"/>
              <w:rPr>
                <w:rFonts w:ascii="Times New Roman" w:hAnsi="Times New Roman" w:eastAsia="黑体" w:cs="Times New Roman"/>
                <w:color w:val="000000" w:themeColor="text1"/>
                <w:sz w:val="28"/>
                <w:szCs w:val="28"/>
              </w:rPr>
            </w:pPr>
            <w:r>
              <w:rPr>
                <w:rFonts w:ascii="Times New Roman" w:hAnsi="Times New Roman" w:eastAsia="楷体" w:cs="Times New Roman"/>
                <w:color w:val="000000" w:themeColor="text1"/>
                <w:sz w:val="28"/>
                <w:szCs w:val="28"/>
              </w:rPr>
              <w:t>西北农林科技大学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2" w:hRule="atLeast"/>
        </w:trPr>
        <w:tc>
          <w:tcPr>
            <w:tcW w:w="2800" w:type="dxa"/>
            <w:gridSpan w:val="2"/>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主管部门名称</w:t>
            </w:r>
          </w:p>
        </w:tc>
        <w:tc>
          <w:tcPr>
            <w:tcW w:w="6482" w:type="dxa"/>
            <w:gridSpan w:val="7"/>
            <w:vAlign w:val="center"/>
          </w:tcPr>
          <w:p>
            <w:pPr>
              <w:jc w:val="center"/>
              <w:rPr>
                <w:rFonts w:ascii="Times New Roman" w:hAnsi="Times New Roman" w:eastAsia="黑体" w:cs="Times New Roman"/>
                <w:color w:val="000000" w:themeColor="text1"/>
                <w:sz w:val="28"/>
                <w:szCs w:val="28"/>
              </w:rPr>
            </w:pPr>
            <w:r>
              <w:rPr>
                <w:rFonts w:ascii="Times New Roman" w:hAnsi="Times New Roman" w:eastAsia="楷体" w:cs="Times New Roman"/>
                <w:color w:val="000000" w:themeColor="text1"/>
                <w:sz w:val="28"/>
                <w:szCs w:val="28"/>
              </w:rPr>
              <w:t>西北农林科技大学教务处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2" w:hRule="atLeast"/>
        </w:trPr>
        <w:tc>
          <w:tcPr>
            <w:tcW w:w="2800" w:type="dxa"/>
            <w:gridSpan w:val="2"/>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示范中心门户网址</w:t>
            </w:r>
          </w:p>
        </w:tc>
        <w:tc>
          <w:tcPr>
            <w:tcW w:w="6482" w:type="dxa"/>
            <w:gridSpan w:val="7"/>
            <w:vAlign w:val="center"/>
          </w:tcPr>
          <w:p>
            <w:pPr>
              <w:jc w:val="center"/>
              <w:rPr>
                <w:rFonts w:ascii="Times New Roman" w:hAnsi="Times New Roman" w:eastAsia="黑体" w:cs="Times New Roman"/>
                <w:color w:val="000000" w:themeColor="text1"/>
                <w:sz w:val="28"/>
                <w:szCs w:val="28"/>
              </w:rPr>
            </w:pPr>
            <w:r>
              <w:rPr>
                <w:rFonts w:ascii="Times New Roman" w:hAnsi="Times New Roman" w:eastAsia="楷体" w:cs="Times New Roman"/>
                <w:color w:val="000000" w:themeColor="text1"/>
                <w:sz w:val="28"/>
                <w:szCs w:val="28"/>
              </w:rPr>
              <w:t>http://yyxysyjxzx.nwsuaf.edu.cn/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481" w:hRule="atLeast"/>
        </w:trPr>
        <w:tc>
          <w:tcPr>
            <w:tcW w:w="2800" w:type="dxa"/>
            <w:gridSpan w:val="2"/>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示范中心详细地址</w:t>
            </w:r>
          </w:p>
        </w:tc>
        <w:tc>
          <w:tcPr>
            <w:tcW w:w="3288" w:type="dxa"/>
            <w:gridSpan w:val="4"/>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陕西省杨凌示范区邰城路3号</w:t>
            </w:r>
          </w:p>
        </w:tc>
        <w:tc>
          <w:tcPr>
            <w:tcW w:w="1472" w:type="dxa"/>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邮政编码</w:t>
            </w:r>
          </w:p>
        </w:tc>
        <w:tc>
          <w:tcPr>
            <w:tcW w:w="1722" w:type="dxa"/>
            <w:gridSpan w:val="2"/>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712100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2" w:hRule="atLeast"/>
        </w:trPr>
        <w:tc>
          <w:tcPr>
            <w:tcW w:w="2800" w:type="dxa"/>
            <w:gridSpan w:val="2"/>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固定资产情况</w:t>
            </w:r>
          </w:p>
        </w:tc>
        <w:tc>
          <w:tcPr>
            <w:tcW w:w="6482" w:type="dxa"/>
            <w:gridSpan w:val="7"/>
            <w:vAlign w:val="center"/>
          </w:tcPr>
          <w:p>
            <w:pPr>
              <w:jc w:val="center"/>
              <w:rPr>
                <w:rFonts w:ascii="Times New Roman" w:hAnsi="Times New Roman" w:eastAsia="黑体" w:cs="Times New Roman"/>
                <w:color w:val="000000" w:themeColor="text1"/>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49" w:hRule="atLeast"/>
        </w:trPr>
        <w:tc>
          <w:tcPr>
            <w:tcW w:w="1590" w:type="dxa"/>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建筑面积</w:t>
            </w:r>
          </w:p>
        </w:tc>
        <w:tc>
          <w:tcPr>
            <w:tcW w:w="1210" w:type="dxa"/>
            <w:vAlign w:val="center"/>
          </w:tcPr>
          <w:p>
            <w:pPr>
              <w:jc w:val="center"/>
              <w:rPr>
                <w:rFonts w:ascii="Times New Roman" w:hAnsi="Times New Roman" w:eastAsia="楷体" w:cs="Times New Roman"/>
                <w:color w:val="000000" w:themeColor="text1"/>
                <w:sz w:val="28"/>
                <w:szCs w:val="28"/>
              </w:rPr>
            </w:pPr>
            <w:r>
              <w:rPr>
                <w:rFonts w:ascii="Times New Roman" w:hAnsi="Times New Roman" w:eastAsia="仿宋_GB2312" w:cs="Times New Roman"/>
                <w:color w:val="000000" w:themeColor="text1"/>
                <w:sz w:val="32"/>
                <w:szCs w:val="32"/>
              </w:rPr>
              <w:t>6800m</w:t>
            </w:r>
            <w:r>
              <w:rPr>
                <w:rFonts w:ascii="Times New Roman" w:hAnsi="Times New Roman" w:eastAsia="仿宋_GB2312" w:cs="Times New Roman"/>
                <w:color w:val="000000" w:themeColor="text1"/>
                <w:sz w:val="32"/>
                <w:szCs w:val="32"/>
                <w:vertAlign w:val="superscript"/>
              </w:rPr>
              <w:t>2</w:t>
            </w:r>
          </w:p>
        </w:tc>
        <w:tc>
          <w:tcPr>
            <w:tcW w:w="1371" w:type="dxa"/>
            <w:gridSpan w:val="2"/>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设备总值</w:t>
            </w:r>
          </w:p>
        </w:tc>
        <w:tc>
          <w:tcPr>
            <w:tcW w:w="1917" w:type="dxa"/>
            <w:gridSpan w:val="2"/>
            <w:vAlign w:val="center"/>
          </w:tcPr>
          <w:p>
            <w:pPr>
              <w:jc w:val="center"/>
              <w:rPr>
                <w:rFonts w:ascii="Times New Roman" w:hAnsi="Times New Roman" w:eastAsia="楷体" w:cs="Times New Roman"/>
                <w:color w:val="000000" w:themeColor="text1"/>
                <w:sz w:val="28"/>
                <w:szCs w:val="28"/>
              </w:rPr>
            </w:pPr>
            <w:r>
              <w:rPr>
                <w:rFonts w:ascii="Times New Roman" w:hAnsi="Times New Roman" w:eastAsia="仿宋_GB2312" w:cs="Times New Roman"/>
                <w:color w:val="000000" w:themeColor="text1"/>
                <w:sz w:val="32"/>
                <w:szCs w:val="32"/>
              </w:rPr>
              <w:t>7253.16</w:t>
            </w:r>
            <w:r>
              <w:rPr>
                <w:rFonts w:ascii="Times New Roman" w:hAnsi="Times New Roman" w:eastAsia="楷体" w:cs="Times New Roman"/>
                <w:color w:val="000000" w:themeColor="text1"/>
                <w:sz w:val="28"/>
                <w:szCs w:val="28"/>
              </w:rPr>
              <w:t>万元</w:t>
            </w:r>
          </w:p>
        </w:tc>
        <w:tc>
          <w:tcPr>
            <w:tcW w:w="1472" w:type="dxa"/>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设备台数</w:t>
            </w:r>
          </w:p>
        </w:tc>
        <w:tc>
          <w:tcPr>
            <w:tcW w:w="1722" w:type="dxa"/>
            <w:gridSpan w:val="2"/>
            <w:vAlign w:val="center"/>
          </w:tcPr>
          <w:p>
            <w:pPr>
              <w:jc w:val="center"/>
              <w:rPr>
                <w:rFonts w:ascii="Times New Roman" w:hAnsi="Times New Roman" w:eastAsia="楷体" w:cs="Times New Roman"/>
                <w:color w:val="000000" w:themeColor="text1"/>
                <w:sz w:val="28"/>
                <w:szCs w:val="28"/>
              </w:rPr>
            </w:pPr>
            <w:r>
              <w:rPr>
                <w:rFonts w:ascii="Times New Roman" w:hAnsi="Times New Roman" w:eastAsia="仿宋_GB2312" w:cs="Times New Roman"/>
                <w:color w:val="000000" w:themeColor="text1"/>
                <w:sz w:val="32"/>
                <w:szCs w:val="32"/>
              </w:rPr>
              <w:t>5305</w:t>
            </w:r>
            <w:r>
              <w:rPr>
                <w:rFonts w:ascii="Times New Roman" w:hAnsi="Times New Roman" w:eastAsia="楷体" w:cs="Times New Roman"/>
                <w:color w:val="000000" w:themeColor="text1"/>
                <w:sz w:val="28"/>
                <w:szCs w:val="28"/>
              </w:rPr>
              <w:t>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2" w:hRule="atLeast"/>
        </w:trPr>
        <w:tc>
          <w:tcPr>
            <w:tcW w:w="2800" w:type="dxa"/>
            <w:gridSpan w:val="2"/>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经费投入情况</w:t>
            </w:r>
          </w:p>
        </w:tc>
        <w:tc>
          <w:tcPr>
            <w:tcW w:w="6482" w:type="dxa"/>
            <w:gridSpan w:val="7"/>
            <w:vAlign w:val="center"/>
          </w:tcPr>
          <w:p>
            <w:pPr>
              <w:jc w:val="center"/>
              <w:rPr>
                <w:rFonts w:ascii="Times New Roman" w:hAnsi="Times New Roman" w:eastAsia="黑体" w:cs="Times New Roman"/>
                <w:color w:val="000000" w:themeColor="text1"/>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24" w:hRule="atLeast"/>
        </w:trPr>
        <w:tc>
          <w:tcPr>
            <w:tcW w:w="3227" w:type="dxa"/>
            <w:gridSpan w:val="3"/>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主管部门年度经费投入</w:t>
            </w:r>
          </w:p>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（直属高校不填）</w:t>
            </w:r>
          </w:p>
        </w:tc>
        <w:tc>
          <w:tcPr>
            <w:tcW w:w="1219" w:type="dxa"/>
            <w:gridSpan w:val="2"/>
            <w:vAlign w:val="center"/>
          </w:tcPr>
          <w:p>
            <w:pPr>
              <w:jc w:val="right"/>
              <w:rPr>
                <w:rFonts w:ascii="Times New Roman" w:hAnsi="Times New Roman" w:eastAsia="楷体" w:cs="Times New Roman"/>
                <w:color w:val="000000" w:themeColor="text1"/>
                <w:sz w:val="28"/>
                <w:szCs w:val="28"/>
              </w:rPr>
            </w:pPr>
            <w:r>
              <w:rPr>
                <w:rFonts w:ascii="Times New Roman" w:hAnsi="Times New Roman" w:eastAsia="楷体" w:cs="Times New Roman"/>
                <w:color w:val="000000" w:themeColor="text1"/>
                <w:sz w:val="28"/>
                <w:szCs w:val="28"/>
              </w:rPr>
              <w:t>万元</w:t>
            </w:r>
          </w:p>
        </w:tc>
        <w:tc>
          <w:tcPr>
            <w:tcW w:w="3344" w:type="dxa"/>
            <w:gridSpan w:val="3"/>
            <w:vAlign w:val="center"/>
          </w:tcPr>
          <w:p>
            <w:pPr>
              <w:jc w:val="center"/>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t>所在学校年度经费投入</w:t>
            </w:r>
          </w:p>
        </w:tc>
        <w:tc>
          <w:tcPr>
            <w:tcW w:w="1492" w:type="dxa"/>
            <w:vAlign w:val="center"/>
          </w:tcPr>
          <w:p>
            <w:pPr>
              <w:jc w:val="both"/>
              <w:rPr>
                <w:rFonts w:ascii="Times New Roman" w:hAnsi="Times New Roman" w:eastAsia="楷体" w:cs="Times New Roman"/>
                <w:color w:val="000000" w:themeColor="text1"/>
                <w:sz w:val="28"/>
                <w:szCs w:val="28"/>
              </w:rPr>
            </w:pPr>
            <w:r>
              <w:rPr>
                <w:rFonts w:hint="eastAsia" w:ascii="Times New Roman" w:hAnsi="Times New Roman" w:eastAsia="楷体" w:cs="Times New Roman"/>
                <w:color w:val="000000" w:themeColor="text1"/>
                <w:sz w:val="28"/>
                <w:szCs w:val="28"/>
                <w:lang w:val="en-US" w:eastAsia="zh-CN"/>
              </w:rPr>
              <w:t>285</w:t>
            </w:r>
            <w:r>
              <w:rPr>
                <w:rFonts w:ascii="Times New Roman" w:hAnsi="Times New Roman" w:eastAsia="楷体" w:cs="Times New Roman"/>
                <w:color w:val="000000" w:themeColor="text1"/>
                <w:sz w:val="28"/>
                <w:szCs w:val="28"/>
              </w:rPr>
              <w:t>万元</w:t>
            </w:r>
          </w:p>
        </w:tc>
      </w:tr>
    </w:tbl>
    <w:p>
      <w:pPr>
        <w:ind w:firstLine="470" w:firstLineChars="196"/>
        <w:rPr>
          <w:rFonts w:ascii="Times New Roman" w:hAnsi="Times New Roman" w:eastAsia="楷体" w:cs="Times New Roman"/>
          <w:bCs/>
          <w:color w:val="000000" w:themeColor="text1"/>
          <w:sz w:val="24"/>
          <w:szCs w:val="24"/>
        </w:rPr>
      </w:pPr>
    </w:p>
    <w:p>
      <w:pPr>
        <w:ind w:firstLine="411" w:firstLineChars="196"/>
        <w:rPr>
          <w:rFonts w:ascii="Times New Roman" w:hAnsi="Times New Roman" w:eastAsia="楷体" w:cs="Times New Roman"/>
          <w:bCs/>
          <w:color w:val="000000" w:themeColor="text1"/>
          <w:szCs w:val="21"/>
        </w:rPr>
      </w:pPr>
      <w:r>
        <w:rPr>
          <w:rFonts w:ascii="Times New Roman" w:hAnsi="Times New Roman" w:eastAsia="楷体" w:cs="Times New Roman"/>
          <w:bCs/>
          <w:color w:val="000000" w:themeColor="text1"/>
          <w:szCs w:val="21"/>
        </w:rPr>
        <w:t>注：（1）表中所有名称都必须填写全称。（2）主管部门：所在学校的上级主管部门，可查询教育部发展规划司全国高等学校名单。</w:t>
      </w:r>
    </w:p>
    <w:p>
      <w:pPr>
        <w:rPr>
          <w:rFonts w:ascii="Times New Roman" w:hAnsi="Times New Roman" w:eastAsia="黑体" w:cs="Times New Roman"/>
          <w:b/>
          <w:bCs/>
          <w:color w:val="000000" w:themeColor="text1"/>
          <w:szCs w:val="21"/>
        </w:rPr>
      </w:pPr>
    </w:p>
    <w:p>
      <w:pPr>
        <w:rPr>
          <w:rFonts w:ascii="Times New Roman" w:hAnsi="Times New Roman" w:eastAsia="黑体" w:cs="Times New Roman"/>
          <w:b/>
          <w:bCs/>
          <w:color w:val="000000" w:themeColor="text1"/>
          <w:sz w:val="32"/>
          <w:szCs w:val="32"/>
        </w:rPr>
      </w:pPr>
      <w:bookmarkStart w:id="143" w:name="_GoBack"/>
      <w:bookmarkEnd w:id="143"/>
    </w:p>
    <w:p>
      <w:pPr>
        <w:rPr>
          <w:rFonts w:ascii="Times New Roman" w:hAnsi="Times New Roman" w:eastAsia="黑体" w:cs="Times New Roman"/>
          <w:b/>
          <w:bCs/>
          <w:color w:val="000000" w:themeColor="text1"/>
          <w:sz w:val="32"/>
          <w:szCs w:val="32"/>
        </w:rPr>
      </w:pPr>
    </w:p>
    <w:p>
      <w:pPr>
        <w:rPr>
          <w:rFonts w:ascii="Times New Roman" w:hAnsi="Times New Roman" w:eastAsia="黑体" w:cs="Times New Roman"/>
          <w:b/>
          <w:bCs/>
          <w:color w:val="000000" w:themeColor="text1"/>
          <w:sz w:val="32"/>
          <w:szCs w:val="32"/>
        </w:rPr>
      </w:pPr>
    </w:p>
    <w:p>
      <w:pPr>
        <w:pStyle w:val="3"/>
        <w:spacing w:before="156" w:beforeLines="50" w:after="156" w:afterLines="50" w:line="500" w:lineRule="exact"/>
        <w:rPr>
          <w:rFonts w:ascii="Times New Roman" w:hAnsi="Times New Roman" w:eastAsia="黑体" w:cs="Times New Roman"/>
          <w:b w:val="0"/>
          <w:color w:val="000000" w:themeColor="text1"/>
        </w:rPr>
      </w:pPr>
      <w:bookmarkStart w:id="126" w:name="_Toc535227423"/>
      <w:r>
        <w:rPr>
          <w:rFonts w:ascii="Times New Roman" w:hAnsi="Times New Roman" w:eastAsia="黑体" w:cs="Times New Roman"/>
          <w:b w:val="0"/>
          <w:color w:val="000000" w:themeColor="text1"/>
        </w:rPr>
        <w:t>二、人才培养情况</w:t>
      </w:r>
      <w:bookmarkEnd w:id="126"/>
    </w:p>
    <w:p>
      <w:pPr>
        <w:pStyle w:val="4"/>
        <w:spacing w:before="0" w:after="0" w:line="240" w:lineRule="auto"/>
        <w:ind w:firstLine="562" w:firstLineChars="200"/>
        <w:rPr>
          <w:rFonts w:ascii="Times New Roman" w:hAnsi="Times New Roman" w:eastAsia="楷体_GB2312" w:cs="Times New Roman"/>
          <w:color w:val="000000" w:themeColor="text1"/>
          <w:sz w:val="28"/>
          <w:szCs w:val="28"/>
        </w:rPr>
      </w:pPr>
      <w:bookmarkStart w:id="127" w:name="_Toc535227424"/>
      <w:r>
        <w:rPr>
          <w:rFonts w:ascii="Times New Roman" w:hAnsi="Times New Roman" w:eastAsia="楷体_GB2312" w:cs="Times New Roman"/>
          <w:color w:val="000000" w:themeColor="text1"/>
          <w:sz w:val="28"/>
          <w:szCs w:val="28"/>
        </w:rPr>
        <w:t>（一）示范中心实验教学面向所在学校专业及学生情况</w:t>
      </w:r>
      <w:bookmarkEnd w:id="127"/>
    </w:p>
    <w:tbl>
      <w:tblPr>
        <w:tblStyle w:val="23"/>
        <w:tblW w:w="852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6"/>
        <w:gridCol w:w="2139"/>
        <w:gridCol w:w="1243"/>
        <w:gridCol w:w="1769"/>
        <w:gridCol w:w="26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restart"/>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序号</w:t>
            </w:r>
          </w:p>
        </w:tc>
        <w:tc>
          <w:tcPr>
            <w:tcW w:w="3382" w:type="dxa"/>
            <w:gridSpan w:val="2"/>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面向的专业</w:t>
            </w:r>
          </w:p>
        </w:tc>
        <w:tc>
          <w:tcPr>
            <w:tcW w:w="1769" w:type="dxa"/>
            <w:vMerge w:val="restart"/>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学生人数</w:t>
            </w:r>
          </w:p>
        </w:tc>
        <w:tc>
          <w:tcPr>
            <w:tcW w:w="2615" w:type="dxa"/>
            <w:vMerge w:val="restart"/>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人时数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continue"/>
            <w:vAlign w:val="center"/>
          </w:tcPr>
          <w:p>
            <w:pPr>
              <w:jc w:val="center"/>
              <w:rPr>
                <w:rFonts w:ascii="Times New Roman" w:hAnsi="Times New Roman" w:eastAsia="仿宋" w:cs="Times New Roman"/>
                <w:color w:val="000000" w:themeColor="text1"/>
                <w:sz w:val="28"/>
                <w:szCs w:val="28"/>
              </w:rPr>
            </w:pPr>
          </w:p>
        </w:tc>
        <w:tc>
          <w:tcPr>
            <w:tcW w:w="2139"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专业名称</w:t>
            </w:r>
          </w:p>
        </w:tc>
        <w:tc>
          <w:tcPr>
            <w:tcW w:w="1243"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年级</w:t>
            </w:r>
          </w:p>
        </w:tc>
        <w:tc>
          <w:tcPr>
            <w:tcW w:w="1769" w:type="dxa"/>
            <w:vMerge w:val="continue"/>
            <w:vAlign w:val="center"/>
          </w:tcPr>
          <w:p>
            <w:pPr>
              <w:jc w:val="center"/>
              <w:rPr>
                <w:rFonts w:ascii="Times New Roman" w:hAnsi="Times New Roman" w:eastAsia="仿宋" w:cs="Times New Roman"/>
                <w:color w:val="000000" w:themeColor="text1"/>
                <w:sz w:val="28"/>
                <w:szCs w:val="28"/>
              </w:rPr>
            </w:pPr>
          </w:p>
        </w:tc>
        <w:tc>
          <w:tcPr>
            <w:tcW w:w="2615" w:type="dxa"/>
            <w:vMerge w:val="continue"/>
            <w:vAlign w:val="center"/>
          </w:tcPr>
          <w:p>
            <w:pPr>
              <w:jc w:val="center"/>
              <w:rPr>
                <w:rFonts w:ascii="Times New Roman" w:hAnsi="Times New Roman" w:eastAsia="仿宋" w:cs="Times New Roman"/>
                <w:color w:val="000000" w:themeColor="text1"/>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restart"/>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1</w:t>
            </w:r>
          </w:p>
        </w:tc>
        <w:tc>
          <w:tcPr>
            <w:tcW w:w="2139" w:type="dxa"/>
            <w:vMerge w:val="restart"/>
            <w:vAlign w:val="center"/>
          </w:tcPr>
          <w:p>
            <w:pPr>
              <w:jc w:val="center"/>
              <w:rPr>
                <w:rFonts w:ascii="仿宋_GB2312" w:hAnsi="Times New Roman" w:eastAsia="仿宋_GB2312" w:cs="Times New Roman"/>
                <w:color w:val="000000" w:themeColor="text1"/>
                <w:sz w:val="24"/>
                <w:szCs w:val="24"/>
              </w:rPr>
            </w:pPr>
            <w:r>
              <w:rPr>
                <w:rFonts w:hint="eastAsia" w:ascii="仿宋_GB2312" w:hAnsi="Times New Roman" w:eastAsia="仿宋_GB2312" w:cs="Times New Roman"/>
                <w:color w:val="000000" w:themeColor="text1"/>
                <w:sz w:val="24"/>
                <w:szCs w:val="24"/>
              </w:rPr>
              <w:t>园艺</w:t>
            </w:r>
          </w:p>
        </w:tc>
        <w:tc>
          <w:tcPr>
            <w:tcW w:w="1243"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2015级</w:t>
            </w:r>
          </w:p>
        </w:tc>
        <w:tc>
          <w:tcPr>
            <w:tcW w:w="176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683</w:t>
            </w:r>
          </w:p>
        </w:tc>
        <w:tc>
          <w:tcPr>
            <w:tcW w:w="2615"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19660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continue"/>
            <w:vAlign w:val="center"/>
          </w:tcPr>
          <w:p>
            <w:pPr>
              <w:jc w:val="center"/>
              <w:rPr>
                <w:rFonts w:ascii="Times New Roman" w:hAnsi="Times New Roman" w:eastAsia="楷体" w:cs="Times New Roman"/>
                <w:color w:val="000000" w:themeColor="text1"/>
                <w:sz w:val="24"/>
                <w:szCs w:val="24"/>
              </w:rPr>
            </w:pPr>
          </w:p>
        </w:tc>
        <w:tc>
          <w:tcPr>
            <w:tcW w:w="2139" w:type="dxa"/>
            <w:vMerge w:val="continue"/>
            <w:vAlign w:val="center"/>
          </w:tcPr>
          <w:p>
            <w:pPr>
              <w:jc w:val="center"/>
              <w:rPr>
                <w:rFonts w:ascii="仿宋_GB2312" w:hAnsi="Times New Roman" w:eastAsia="仿宋_GB2312" w:cs="Times New Roman"/>
                <w:color w:val="000000" w:themeColor="text1"/>
                <w:sz w:val="24"/>
                <w:szCs w:val="24"/>
              </w:rPr>
            </w:pPr>
          </w:p>
        </w:tc>
        <w:tc>
          <w:tcPr>
            <w:tcW w:w="1243"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2016级</w:t>
            </w:r>
          </w:p>
        </w:tc>
        <w:tc>
          <w:tcPr>
            <w:tcW w:w="176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1319</w:t>
            </w:r>
          </w:p>
        </w:tc>
        <w:tc>
          <w:tcPr>
            <w:tcW w:w="2615"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81342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continue"/>
            <w:vAlign w:val="center"/>
          </w:tcPr>
          <w:p>
            <w:pPr>
              <w:jc w:val="center"/>
              <w:rPr>
                <w:rFonts w:ascii="Times New Roman" w:hAnsi="Times New Roman" w:eastAsia="楷体" w:cs="Times New Roman"/>
                <w:color w:val="000000" w:themeColor="text1"/>
                <w:sz w:val="24"/>
                <w:szCs w:val="24"/>
              </w:rPr>
            </w:pPr>
          </w:p>
        </w:tc>
        <w:tc>
          <w:tcPr>
            <w:tcW w:w="2139" w:type="dxa"/>
            <w:vMerge w:val="continue"/>
            <w:vAlign w:val="center"/>
          </w:tcPr>
          <w:p>
            <w:pPr>
              <w:jc w:val="center"/>
              <w:rPr>
                <w:rFonts w:ascii="仿宋_GB2312" w:hAnsi="Times New Roman" w:eastAsia="仿宋_GB2312" w:cs="Times New Roman"/>
                <w:color w:val="000000" w:themeColor="text1"/>
                <w:sz w:val="24"/>
                <w:szCs w:val="24"/>
              </w:rPr>
            </w:pPr>
          </w:p>
        </w:tc>
        <w:tc>
          <w:tcPr>
            <w:tcW w:w="1243"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2017级</w:t>
            </w:r>
          </w:p>
        </w:tc>
        <w:tc>
          <w:tcPr>
            <w:tcW w:w="176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149</w:t>
            </w:r>
          </w:p>
        </w:tc>
        <w:tc>
          <w:tcPr>
            <w:tcW w:w="2615"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11920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restart"/>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2</w:t>
            </w:r>
          </w:p>
        </w:tc>
        <w:tc>
          <w:tcPr>
            <w:tcW w:w="2139" w:type="dxa"/>
            <w:vMerge w:val="restart"/>
            <w:vAlign w:val="center"/>
          </w:tcPr>
          <w:p>
            <w:pPr>
              <w:jc w:val="center"/>
              <w:rPr>
                <w:rFonts w:ascii="仿宋_GB2312" w:hAnsi="Times New Roman" w:eastAsia="仿宋_GB2312" w:cs="Times New Roman"/>
                <w:color w:val="000000" w:themeColor="text1"/>
                <w:sz w:val="24"/>
                <w:szCs w:val="24"/>
              </w:rPr>
            </w:pPr>
            <w:r>
              <w:rPr>
                <w:rFonts w:hint="eastAsia" w:ascii="仿宋_GB2312" w:hAnsi="Times New Roman" w:eastAsia="仿宋_GB2312" w:cs="Times New Roman"/>
                <w:color w:val="000000" w:themeColor="text1"/>
                <w:sz w:val="24"/>
                <w:szCs w:val="24"/>
              </w:rPr>
              <w:t>设施</w:t>
            </w:r>
          </w:p>
        </w:tc>
        <w:tc>
          <w:tcPr>
            <w:tcW w:w="1243"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2015级</w:t>
            </w:r>
          </w:p>
        </w:tc>
        <w:tc>
          <w:tcPr>
            <w:tcW w:w="176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190</w:t>
            </w:r>
          </w:p>
        </w:tc>
        <w:tc>
          <w:tcPr>
            <w:tcW w:w="2615"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2894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continue"/>
            <w:vAlign w:val="center"/>
          </w:tcPr>
          <w:p>
            <w:pPr>
              <w:jc w:val="center"/>
              <w:rPr>
                <w:rFonts w:ascii="Times New Roman" w:hAnsi="Times New Roman" w:eastAsia="楷体" w:cs="Times New Roman"/>
                <w:color w:val="000000" w:themeColor="text1"/>
                <w:sz w:val="24"/>
                <w:szCs w:val="24"/>
              </w:rPr>
            </w:pPr>
          </w:p>
        </w:tc>
        <w:tc>
          <w:tcPr>
            <w:tcW w:w="2139" w:type="dxa"/>
            <w:vMerge w:val="continue"/>
            <w:vAlign w:val="center"/>
          </w:tcPr>
          <w:p>
            <w:pPr>
              <w:jc w:val="center"/>
              <w:rPr>
                <w:rFonts w:ascii="仿宋_GB2312" w:hAnsi="Times New Roman" w:eastAsia="仿宋_GB2312" w:cs="Times New Roman"/>
                <w:color w:val="000000" w:themeColor="text1"/>
                <w:sz w:val="24"/>
                <w:szCs w:val="24"/>
              </w:rPr>
            </w:pPr>
          </w:p>
        </w:tc>
        <w:tc>
          <w:tcPr>
            <w:tcW w:w="1243"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2016级</w:t>
            </w:r>
          </w:p>
        </w:tc>
        <w:tc>
          <w:tcPr>
            <w:tcW w:w="176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609</w:t>
            </w:r>
          </w:p>
        </w:tc>
        <w:tc>
          <w:tcPr>
            <w:tcW w:w="2615"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15392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continue"/>
            <w:vAlign w:val="center"/>
          </w:tcPr>
          <w:p>
            <w:pPr>
              <w:jc w:val="center"/>
              <w:rPr>
                <w:rFonts w:ascii="Times New Roman" w:hAnsi="Times New Roman" w:eastAsia="楷体" w:cs="Times New Roman"/>
                <w:color w:val="000000" w:themeColor="text1"/>
                <w:sz w:val="24"/>
                <w:szCs w:val="24"/>
              </w:rPr>
            </w:pPr>
          </w:p>
        </w:tc>
        <w:tc>
          <w:tcPr>
            <w:tcW w:w="2139" w:type="dxa"/>
            <w:vMerge w:val="continue"/>
            <w:vAlign w:val="center"/>
          </w:tcPr>
          <w:p>
            <w:pPr>
              <w:jc w:val="center"/>
              <w:rPr>
                <w:rFonts w:ascii="仿宋_GB2312" w:hAnsi="Times New Roman" w:eastAsia="仿宋_GB2312" w:cs="Times New Roman"/>
                <w:color w:val="000000" w:themeColor="text1"/>
                <w:sz w:val="24"/>
                <w:szCs w:val="24"/>
              </w:rPr>
            </w:pPr>
          </w:p>
        </w:tc>
        <w:tc>
          <w:tcPr>
            <w:tcW w:w="1243"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2017级</w:t>
            </w:r>
          </w:p>
        </w:tc>
        <w:tc>
          <w:tcPr>
            <w:tcW w:w="176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247</w:t>
            </w:r>
          </w:p>
        </w:tc>
        <w:tc>
          <w:tcPr>
            <w:tcW w:w="2615" w:type="dxa"/>
            <w:vAlign w:val="center"/>
          </w:tcPr>
          <w:p>
            <w:pPr>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szCs w:val="24"/>
              </w:rPr>
              <w:t>11872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restart"/>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3</w:t>
            </w:r>
          </w:p>
        </w:tc>
        <w:tc>
          <w:tcPr>
            <w:tcW w:w="2139" w:type="dxa"/>
            <w:vMerge w:val="restart"/>
            <w:vAlign w:val="center"/>
          </w:tcPr>
          <w:p>
            <w:pPr>
              <w:jc w:val="center"/>
              <w:rPr>
                <w:rFonts w:ascii="仿宋_GB2312" w:hAnsi="Times New Roman" w:eastAsia="仿宋_GB2312" w:cs="Times New Roman"/>
                <w:color w:val="000000" w:themeColor="text1"/>
                <w:sz w:val="24"/>
                <w:szCs w:val="24"/>
              </w:rPr>
            </w:pPr>
            <w:r>
              <w:rPr>
                <w:rFonts w:hint="eastAsia" w:ascii="仿宋_GB2312" w:hAnsi="Times New Roman" w:eastAsia="仿宋_GB2312" w:cs="Times New Roman"/>
                <w:color w:val="000000" w:themeColor="text1"/>
                <w:sz w:val="24"/>
                <w:szCs w:val="24"/>
              </w:rPr>
              <w:t>植保</w:t>
            </w:r>
          </w:p>
        </w:tc>
        <w:tc>
          <w:tcPr>
            <w:tcW w:w="1243"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2016级</w:t>
            </w:r>
          </w:p>
        </w:tc>
        <w:tc>
          <w:tcPr>
            <w:tcW w:w="176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138</w:t>
            </w:r>
          </w:p>
        </w:tc>
        <w:tc>
          <w:tcPr>
            <w:tcW w:w="2615"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2808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Merge w:val="continue"/>
            <w:vAlign w:val="center"/>
          </w:tcPr>
          <w:p>
            <w:pPr>
              <w:jc w:val="center"/>
              <w:rPr>
                <w:rFonts w:ascii="Times New Roman" w:hAnsi="Times New Roman" w:eastAsia="楷体" w:cs="Times New Roman"/>
                <w:color w:val="000000" w:themeColor="text1"/>
                <w:sz w:val="24"/>
                <w:szCs w:val="24"/>
              </w:rPr>
            </w:pPr>
          </w:p>
        </w:tc>
        <w:tc>
          <w:tcPr>
            <w:tcW w:w="2139" w:type="dxa"/>
            <w:vMerge w:val="continue"/>
            <w:vAlign w:val="center"/>
          </w:tcPr>
          <w:p>
            <w:pPr>
              <w:jc w:val="center"/>
              <w:rPr>
                <w:rFonts w:ascii="仿宋_GB2312" w:hAnsi="Times New Roman" w:eastAsia="仿宋_GB2312" w:cs="Times New Roman"/>
                <w:color w:val="000000" w:themeColor="text1"/>
                <w:sz w:val="24"/>
                <w:szCs w:val="24"/>
              </w:rPr>
            </w:pPr>
          </w:p>
        </w:tc>
        <w:tc>
          <w:tcPr>
            <w:tcW w:w="1243"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2017级</w:t>
            </w:r>
          </w:p>
        </w:tc>
        <w:tc>
          <w:tcPr>
            <w:tcW w:w="176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76</w:t>
            </w:r>
          </w:p>
        </w:tc>
        <w:tc>
          <w:tcPr>
            <w:tcW w:w="2615"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1824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9" w:hRule="exact"/>
          <w:jc w:val="center"/>
        </w:trPr>
        <w:tc>
          <w:tcPr>
            <w:tcW w:w="756" w:type="dxa"/>
            <w:vAlign w:val="center"/>
          </w:tcPr>
          <w:p>
            <w:pPr>
              <w:jc w:val="center"/>
              <w:rPr>
                <w:rFonts w:ascii="Times New Roman" w:hAnsi="Times New Roman" w:eastAsia="楷体" w:cs="Times New Roman"/>
                <w:color w:val="000000" w:themeColor="text1"/>
                <w:sz w:val="24"/>
                <w:szCs w:val="24"/>
              </w:rPr>
            </w:pPr>
          </w:p>
        </w:tc>
        <w:tc>
          <w:tcPr>
            <w:tcW w:w="2139" w:type="dxa"/>
            <w:vAlign w:val="center"/>
          </w:tcPr>
          <w:p>
            <w:pPr>
              <w:jc w:val="center"/>
              <w:rPr>
                <w:rFonts w:ascii="仿宋_GB2312" w:hAnsi="Times New Roman" w:eastAsia="仿宋_GB2312" w:cs="Times New Roman"/>
                <w:color w:val="000000" w:themeColor="text1"/>
                <w:sz w:val="24"/>
                <w:szCs w:val="24"/>
              </w:rPr>
            </w:pPr>
            <w:r>
              <w:rPr>
                <w:rFonts w:hint="eastAsia" w:ascii="仿宋_GB2312" w:hAnsi="Times New Roman" w:eastAsia="仿宋_GB2312" w:cs="Times New Roman"/>
                <w:color w:val="000000" w:themeColor="text1"/>
                <w:sz w:val="24"/>
                <w:szCs w:val="24"/>
              </w:rPr>
              <w:t>合计</w:t>
            </w:r>
          </w:p>
        </w:tc>
        <w:tc>
          <w:tcPr>
            <w:tcW w:w="1243" w:type="dxa"/>
            <w:vAlign w:val="center"/>
          </w:tcPr>
          <w:p>
            <w:pPr>
              <w:jc w:val="center"/>
              <w:rPr>
                <w:rFonts w:ascii="Times New Roman" w:hAnsi="Times New Roman" w:eastAsia="仿宋_GB2312" w:cs="Times New Roman"/>
                <w:color w:val="000000" w:themeColor="text1"/>
                <w:sz w:val="24"/>
                <w:szCs w:val="24"/>
              </w:rPr>
            </w:pPr>
          </w:p>
        </w:tc>
        <w:tc>
          <w:tcPr>
            <w:tcW w:w="1769"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3411</w:t>
            </w:r>
          </w:p>
        </w:tc>
        <w:tc>
          <w:tcPr>
            <w:tcW w:w="2615" w:type="dxa"/>
            <w:vAlign w:val="center"/>
          </w:tcPr>
          <w:p>
            <w:pPr>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147712</w:t>
            </w:r>
          </w:p>
        </w:tc>
      </w:tr>
    </w:tbl>
    <w:p>
      <w:pPr>
        <w:ind w:firstLine="411" w:firstLineChars="196"/>
        <w:rPr>
          <w:rFonts w:ascii="Times New Roman" w:hAnsi="Times New Roman" w:eastAsia="楷体" w:cs="Times New Roman"/>
          <w:bCs/>
          <w:color w:val="000000" w:themeColor="text1"/>
          <w:szCs w:val="21"/>
        </w:rPr>
      </w:pPr>
      <w:r>
        <w:rPr>
          <w:rFonts w:ascii="Times New Roman" w:hAnsi="Times New Roman" w:eastAsia="楷体" w:cs="Times New Roman"/>
          <w:bCs/>
          <w:color w:val="000000" w:themeColor="text1"/>
          <w:szCs w:val="21"/>
        </w:rPr>
        <w:t>注：面向的本校专业：实验教学内容列入专业人才培养方案的专业。</w:t>
      </w:r>
    </w:p>
    <w:p>
      <w:pPr>
        <w:ind w:firstLine="470" w:firstLineChars="196"/>
        <w:rPr>
          <w:rFonts w:ascii="Times New Roman" w:hAnsi="Times New Roman" w:eastAsia="楷体" w:cs="Times New Roman"/>
          <w:bCs/>
          <w:color w:val="000000" w:themeColor="text1"/>
          <w:sz w:val="24"/>
          <w:szCs w:val="24"/>
        </w:rPr>
      </w:pPr>
    </w:p>
    <w:p>
      <w:pPr>
        <w:pStyle w:val="4"/>
        <w:spacing w:before="0" w:after="0" w:line="240" w:lineRule="auto"/>
        <w:ind w:firstLine="562" w:firstLineChars="200"/>
        <w:rPr>
          <w:rFonts w:ascii="Times New Roman" w:hAnsi="Times New Roman" w:eastAsia="楷体_GB2312" w:cs="Times New Roman"/>
          <w:color w:val="000000" w:themeColor="text1"/>
          <w:sz w:val="28"/>
          <w:szCs w:val="28"/>
        </w:rPr>
      </w:pPr>
      <w:bookmarkStart w:id="128" w:name="_Toc535227425"/>
      <w:r>
        <w:rPr>
          <w:rFonts w:ascii="Times New Roman" w:hAnsi="Times New Roman" w:eastAsia="楷体_GB2312" w:cs="Times New Roman"/>
          <w:color w:val="000000" w:themeColor="text1"/>
          <w:sz w:val="28"/>
          <w:szCs w:val="28"/>
        </w:rPr>
        <w:t>（二）实验教学资源情况</w:t>
      </w:r>
      <w:bookmarkEnd w:id="128"/>
    </w:p>
    <w:tbl>
      <w:tblPr>
        <w:tblStyle w:val="22"/>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3"/>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4303"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实验项目资源总数</w:t>
            </w:r>
          </w:p>
        </w:tc>
        <w:tc>
          <w:tcPr>
            <w:tcW w:w="4218" w:type="dxa"/>
            <w:vAlign w:val="center"/>
          </w:tcPr>
          <w:p>
            <w:pPr>
              <w:wordWrap w:val="0"/>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273个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4303"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年度开设实验项目数</w:t>
            </w:r>
          </w:p>
        </w:tc>
        <w:tc>
          <w:tcPr>
            <w:tcW w:w="4218"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273个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4303"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年度独立设课的实验课程</w:t>
            </w:r>
          </w:p>
        </w:tc>
        <w:tc>
          <w:tcPr>
            <w:tcW w:w="4218"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63门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4303"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实验教材总数</w:t>
            </w:r>
          </w:p>
        </w:tc>
        <w:tc>
          <w:tcPr>
            <w:tcW w:w="4218"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11种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4303"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年度新增实验教材</w:t>
            </w:r>
          </w:p>
        </w:tc>
        <w:tc>
          <w:tcPr>
            <w:tcW w:w="4218"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2种</w:t>
            </w:r>
          </w:p>
        </w:tc>
      </w:tr>
    </w:tbl>
    <w:p>
      <w:pPr>
        <w:ind w:firstLine="411" w:firstLineChars="196"/>
        <w:rPr>
          <w:rFonts w:ascii="Times New Roman" w:hAnsi="Times New Roman" w:eastAsia="楷体" w:cs="Times New Roman"/>
          <w:bCs/>
          <w:color w:val="000000" w:themeColor="text1"/>
          <w:szCs w:val="21"/>
        </w:rPr>
      </w:pPr>
      <w:r>
        <w:rPr>
          <w:rFonts w:ascii="Times New Roman" w:hAnsi="Times New Roman" w:eastAsia="楷体" w:cs="Times New Roman"/>
          <w:bCs/>
          <w:color w:val="000000" w:themeColor="text1"/>
          <w:szCs w:val="21"/>
        </w:rPr>
        <w:t>注：（1）实验项目：有实验讲义和既往学生实验报告的实验项目。（2）实验教材：由中心固定人员担任主编、正式出版的实验教材。（3）实验课程：在专业培养方案中独立设置学分的实验课程。</w:t>
      </w:r>
    </w:p>
    <w:p>
      <w:pPr>
        <w:pStyle w:val="4"/>
        <w:spacing w:before="0" w:after="0" w:line="240" w:lineRule="auto"/>
        <w:ind w:firstLine="562" w:firstLineChars="200"/>
        <w:rPr>
          <w:rFonts w:ascii="Times New Roman" w:hAnsi="Times New Roman" w:eastAsia="楷体_GB2312" w:cs="Times New Roman"/>
          <w:color w:val="000000" w:themeColor="text1"/>
          <w:sz w:val="28"/>
          <w:szCs w:val="28"/>
        </w:rPr>
      </w:pPr>
      <w:bookmarkStart w:id="129" w:name="_Toc535227426"/>
      <w:r>
        <w:rPr>
          <w:rFonts w:ascii="Times New Roman" w:hAnsi="Times New Roman" w:eastAsia="楷体_GB2312" w:cs="Times New Roman"/>
          <w:color w:val="000000" w:themeColor="text1"/>
          <w:sz w:val="28"/>
          <w:szCs w:val="28"/>
        </w:rPr>
        <w:t>（三）学生获奖情况</w:t>
      </w:r>
      <w:bookmarkEnd w:id="129"/>
    </w:p>
    <w:tbl>
      <w:tblPr>
        <w:tblStyle w:val="23"/>
        <w:tblW w:w="8561"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2"/>
        <w:gridCol w:w="40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89" w:hRule="atLeast"/>
          <w:jc w:val="center"/>
        </w:trPr>
        <w:tc>
          <w:tcPr>
            <w:tcW w:w="4502"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学生获奖人数</w:t>
            </w:r>
          </w:p>
        </w:tc>
        <w:tc>
          <w:tcPr>
            <w:tcW w:w="4059" w:type="dxa"/>
            <w:vAlign w:val="center"/>
          </w:tcPr>
          <w:p>
            <w:pPr>
              <w:jc w:val="center"/>
              <w:rPr>
                <w:rFonts w:ascii="仿宋_GB2312" w:hAnsi="Times New Roman" w:eastAsia="仿宋_GB2312" w:cs="Times New Roman"/>
                <w:color w:val="000000" w:themeColor="text1"/>
                <w:sz w:val="24"/>
                <w:szCs w:val="24"/>
              </w:rPr>
            </w:pPr>
            <w:r>
              <w:rPr>
                <w:rFonts w:hint="eastAsia" w:ascii="仿宋_GB2312" w:hAnsi="Times New Roman" w:eastAsia="仿宋_GB2312" w:cs="Times New Roman"/>
                <w:color w:val="000000" w:themeColor="text1"/>
                <w:sz w:val="24"/>
                <w:szCs w:val="24"/>
              </w:rPr>
              <w:t>86人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89" w:hRule="atLeast"/>
          <w:jc w:val="center"/>
        </w:trPr>
        <w:tc>
          <w:tcPr>
            <w:tcW w:w="4502"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学生发表论文数</w:t>
            </w:r>
          </w:p>
        </w:tc>
        <w:tc>
          <w:tcPr>
            <w:tcW w:w="4059" w:type="dxa"/>
            <w:vAlign w:val="center"/>
          </w:tcPr>
          <w:p>
            <w:pPr>
              <w:jc w:val="center"/>
              <w:rPr>
                <w:rFonts w:ascii="仿宋_GB2312" w:hAnsi="Times New Roman" w:eastAsia="仿宋_GB2312" w:cs="Times New Roman"/>
                <w:color w:val="000000" w:themeColor="text1"/>
                <w:sz w:val="24"/>
                <w:szCs w:val="24"/>
              </w:rPr>
            </w:pPr>
            <w:r>
              <w:rPr>
                <w:rFonts w:hint="eastAsia" w:ascii="仿宋_GB2312" w:hAnsi="Times New Roman" w:eastAsia="仿宋_GB2312" w:cs="Times New Roman"/>
                <w:color w:val="000000" w:themeColor="text1"/>
                <w:sz w:val="24"/>
                <w:szCs w:val="24"/>
              </w:rPr>
              <w:t>9篇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37" w:hRule="atLeast"/>
          <w:jc w:val="center"/>
        </w:trPr>
        <w:tc>
          <w:tcPr>
            <w:tcW w:w="4502"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学生获得专利数</w:t>
            </w:r>
          </w:p>
        </w:tc>
        <w:tc>
          <w:tcPr>
            <w:tcW w:w="4059" w:type="dxa"/>
            <w:vAlign w:val="center"/>
          </w:tcPr>
          <w:p>
            <w:pPr>
              <w:jc w:val="center"/>
              <w:rPr>
                <w:rFonts w:ascii="仿宋_GB2312" w:hAnsi="Times New Roman" w:eastAsia="仿宋_GB2312" w:cs="Times New Roman"/>
                <w:color w:val="000000" w:themeColor="text1"/>
                <w:sz w:val="24"/>
                <w:szCs w:val="24"/>
              </w:rPr>
            </w:pPr>
            <w:r>
              <w:rPr>
                <w:rFonts w:hint="eastAsia" w:ascii="仿宋_GB2312" w:hAnsi="Times New Roman" w:eastAsia="仿宋_GB2312" w:cs="Times New Roman"/>
                <w:color w:val="000000" w:themeColor="text1"/>
                <w:sz w:val="24"/>
                <w:szCs w:val="24"/>
              </w:rPr>
              <w:t>1项</w:t>
            </w:r>
          </w:p>
        </w:tc>
      </w:tr>
    </w:tbl>
    <w:p>
      <w:pPr>
        <w:ind w:firstLine="411" w:firstLineChars="196"/>
        <w:rPr>
          <w:rFonts w:ascii="Times New Roman" w:hAnsi="Times New Roman" w:eastAsia="楷体" w:cs="Times New Roman"/>
          <w:bCs/>
          <w:color w:val="000000" w:themeColor="text1"/>
          <w:szCs w:val="21"/>
        </w:rPr>
      </w:pPr>
      <w:r>
        <w:rPr>
          <w:rFonts w:ascii="Times New Roman" w:hAnsi="Times New Roman" w:eastAsia="楷体" w:cs="Times New Roman"/>
          <w:bCs/>
          <w:color w:val="000000" w:themeColor="text1"/>
          <w:szCs w:val="21"/>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ind w:firstLine="470" w:firstLineChars="196"/>
        <w:rPr>
          <w:rFonts w:ascii="Times New Roman" w:hAnsi="Times New Roman" w:eastAsia="楷体" w:cs="Times New Roman"/>
          <w:bCs/>
          <w:color w:val="000000" w:themeColor="text1"/>
          <w:sz w:val="24"/>
          <w:szCs w:val="24"/>
        </w:rPr>
      </w:pPr>
    </w:p>
    <w:p>
      <w:pPr>
        <w:pStyle w:val="3"/>
        <w:spacing w:before="156" w:beforeLines="50" w:after="156" w:afterLines="50" w:line="500" w:lineRule="exact"/>
        <w:rPr>
          <w:rFonts w:ascii="Times New Roman" w:hAnsi="Times New Roman" w:eastAsia="黑体" w:cs="Times New Roman"/>
          <w:b w:val="0"/>
          <w:color w:val="000000" w:themeColor="text1"/>
        </w:rPr>
        <w:sectPr>
          <w:pgSz w:w="11906" w:h="16838"/>
          <w:pgMar w:top="1418" w:right="1588" w:bottom="1418" w:left="1588" w:header="851" w:footer="992" w:gutter="0"/>
          <w:cols w:space="425" w:num="1"/>
          <w:docGrid w:type="lines" w:linePitch="312" w:charSpace="0"/>
        </w:sectPr>
      </w:pPr>
    </w:p>
    <w:p>
      <w:pPr>
        <w:pStyle w:val="3"/>
        <w:spacing w:before="156" w:beforeLines="50" w:after="156" w:afterLines="50" w:line="500" w:lineRule="exact"/>
        <w:rPr>
          <w:rFonts w:ascii="Times New Roman" w:hAnsi="Times New Roman" w:eastAsia="黑体" w:cs="Times New Roman"/>
          <w:b w:val="0"/>
          <w:color w:val="000000" w:themeColor="text1"/>
        </w:rPr>
      </w:pPr>
      <w:bookmarkStart w:id="130" w:name="_Toc535227427"/>
      <w:r>
        <w:rPr>
          <w:rFonts w:ascii="Times New Roman" w:hAnsi="Times New Roman" w:eastAsia="黑体" w:cs="Times New Roman"/>
          <w:b w:val="0"/>
          <w:color w:val="000000" w:themeColor="text1"/>
        </w:rPr>
        <w:t>三、教学改革与科学研究情况</w:t>
      </w:r>
      <w:bookmarkEnd w:id="130"/>
    </w:p>
    <w:p>
      <w:pPr>
        <w:pStyle w:val="4"/>
        <w:spacing w:before="0" w:after="0" w:line="240" w:lineRule="auto"/>
        <w:ind w:firstLine="560" w:firstLineChars="200"/>
        <w:rPr>
          <w:rFonts w:ascii="Times New Roman" w:hAnsi="Times New Roman" w:eastAsia="楷体_GB2312" w:cs="Times New Roman"/>
          <w:color w:val="000000" w:themeColor="text1"/>
          <w:sz w:val="28"/>
          <w:szCs w:val="28"/>
        </w:rPr>
      </w:pPr>
      <w:bookmarkStart w:id="131" w:name="_Toc535227428"/>
      <w:r>
        <w:rPr>
          <w:rFonts w:ascii="Times New Roman" w:hAnsi="Times New Roman" w:eastAsia="楷体_GB2312" w:cs="Times New Roman"/>
          <w:color w:val="000000" w:themeColor="text1"/>
          <w:sz w:val="28"/>
          <w:szCs w:val="28"/>
        </w:rPr>
        <w:t>（一）承担教学改革任务及经费</w:t>
      </w:r>
      <w:bookmarkEnd w:id="131"/>
    </w:p>
    <w:tbl>
      <w:tblPr>
        <w:tblStyle w:val="22"/>
        <w:tblW w:w="1406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4170"/>
        <w:gridCol w:w="1899"/>
        <w:gridCol w:w="1078"/>
        <w:gridCol w:w="2381"/>
        <w:gridCol w:w="1701"/>
        <w:gridCol w:w="1418"/>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6" w:hRule="atLeast"/>
          <w:jc w:val="center"/>
        </w:trPr>
        <w:tc>
          <w:tcPr>
            <w:tcW w:w="710"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序号</w:t>
            </w:r>
          </w:p>
        </w:tc>
        <w:tc>
          <w:tcPr>
            <w:tcW w:w="4170"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项目/课题名称</w:t>
            </w:r>
          </w:p>
        </w:tc>
        <w:tc>
          <w:tcPr>
            <w:tcW w:w="1899"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文号</w:t>
            </w:r>
          </w:p>
        </w:tc>
        <w:tc>
          <w:tcPr>
            <w:tcW w:w="1078"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负责人</w:t>
            </w:r>
          </w:p>
        </w:tc>
        <w:tc>
          <w:tcPr>
            <w:tcW w:w="2381"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参加人员</w:t>
            </w:r>
          </w:p>
        </w:tc>
        <w:tc>
          <w:tcPr>
            <w:tcW w:w="1701"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起止时间</w:t>
            </w:r>
          </w:p>
        </w:tc>
        <w:tc>
          <w:tcPr>
            <w:tcW w:w="1418"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经费（万元）</w:t>
            </w:r>
          </w:p>
        </w:tc>
        <w:tc>
          <w:tcPr>
            <w:tcW w:w="709"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09" w:hRule="atLeast"/>
          <w:jc w:val="center"/>
        </w:trPr>
        <w:tc>
          <w:tcPr>
            <w:tcW w:w="710" w:type="dxa"/>
            <w:vAlign w:val="center"/>
          </w:tcPr>
          <w:p>
            <w:pPr>
              <w:spacing w:line="400" w:lineRule="exact"/>
              <w:jc w:val="center"/>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1</w:t>
            </w:r>
          </w:p>
        </w:tc>
        <w:tc>
          <w:tcPr>
            <w:tcW w:w="4170" w:type="dxa"/>
            <w:vAlign w:val="center"/>
          </w:tcPr>
          <w:p>
            <w:pPr>
              <w:spacing w:line="400" w:lineRule="exact"/>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设施农业科学与工程专业复合应用型农林人才培养模式改革试点项目</w:t>
            </w:r>
          </w:p>
        </w:tc>
        <w:tc>
          <w:tcPr>
            <w:tcW w:w="1899" w:type="dxa"/>
            <w:vAlign w:val="center"/>
          </w:tcPr>
          <w:p>
            <w:pPr>
              <w:spacing w:line="400" w:lineRule="exact"/>
              <w:jc w:val="center"/>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教高函[2014]7号</w:t>
            </w:r>
          </w:p>
        </w:tc>
        <w:tc>
          <w:tcPr>
            <w:tcW w:w="1078" w:type="dxa"/>
            <w:vAlign w:val="center"/>
          </w:tcPr>
          <w:p>
            <w:pPr>
              <w:spacing w:line="400" w:lineRule="exact"/>
              <w:jc w:val="center"/>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邹志荣</w:t>
            </w:r>
          </w:p>
        </w:tc>
        <w:tc>
          <w:tcPr>
            <w:tcW w:w="2381" w:type="dxa"/>
            <w:vAlign w:val="center"/>
          </w:tcPr>
          <w:p>
            <w:pPr>
              <w:spacing w:line="400" w:lineRule="exact"/>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设施农业科学与工程专业全体教师（20人）</w:t>
            </w:r>
          </w:p>
        </w:tc>
        <w:tc>
          <w:tcPr>
            <w:tcW w:w="1701" w:type="dxa"/>
            <w:vAlign w:val="center"/>
          </w:tcPr>
          <w:p>
            <w:pPr>
              <w:spacing w:line="400" w:lineRule="exact"/>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2014年-</w:t>
            </w:r>
          </w:p>
        </w:tc>
        <w:tc>
          <w:tcPr>
            <w:tcW w:w="1418" w:type="dxa"/>
            <w:vAlign w:val="center"/>
          </w:tcPr>
          <w:p>
            <w:pPr>
              <w:spacing w:line="400" w:lineRule="exact"/>
              <w:jc w:val="center"/>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10</w:t>
            </w:r>
          </w:p>
        </w:tc>
        <w:tc>
          <w:tcPr>
            <w:tcW w:w="709" w:type="dxa"/>
            <w:vAlign w:val="center"/>
          </w:tcPr>
          <w:p>
            <w:pPr>
              <w:spacing w:line="400" w:lineRule="exact"/>
              <w:jc w:val="center"/>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00" w:hRule="atLeast"/>
          <w:jc w:val="center"/>
        </w:trPr>
        <w:tc>
          <w:tcPr>
            <w:tcW w:w="710" w:type="dxa"/>
            <w:vAlign w:val="center"/>
          </w:tcPr>
          <w:p>
            <w:pPr>
              <w:spacing w:line="400" w:lineRule="exact"/>
              <w:jc w:val="center"/>
              <w:rPr>
                <w:rFonts w:ascii="Times New Roman" w:hAnsi="Times New Roman" w:eastAsia="仿宋" w:cs="Times New Roman"/>
                <w:bCs/>
                <w:color w:val="000000" w:themeColor="text1"/>
                <w:sz w:val="28"/>
                <w:szCs w:val="28"/>
              </w:rPr>
            </w:pPr>
            <w:r>
              <w:rPr>
                <w:rFonts w:ascii="Times New Roman" w:hAnsi="Times New Roman" w:eastAsia="仿宋" w:cs="Times New Roman"/>
                <w:bCs/>
                <w:color w:val="000000" w:themeColor="text1"/>
                <w:sz w:val="28"/>
                <w:szCs w:val="28"/>
              </w:rPr>
              <w:t>2</w:t>
            </w:r>
          </w:p>
        </w:tc>
        <w:tc>
          <w:tcPr>
            <w:tcW w:w="4170" w:type="dxa"/>
            <w:vAlign w:val="center"/>
          </w:tcPr>
          <w:p>
            <w:pPr>
              <w:spacing w:line="400" w:lineRule="exac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园艺类专业创新创业教育实践育人平台建设</w:t>
            </w:r>
          </w:p>
        </w:tc>
        <w:tc>
          <w:tcPr>
            <w:tcW w:w="1899"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陕教[2017]372号</w:t>
            </w:r>
          </w:p>
        </w:tc>
        <w:tc>
          <w:tcPr>
            <w:tcW w:w="1078"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马锋旺</w:t>
            </w:r>
          </w:p>
        </w:tc>
        <w:tc>
          <w:tcPr>
            <w:tcW w:w="2381" w:type="dxa"/>
            <w:vAlign w:val="center"/>
          </w:tcPr>
          <w:p>
            <w:pPr>
              <w:spacing w:line="400" w:lineRule="exac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徐炎，邓业胜，王增信，徐凌飞</w:t>
            </w:r>
          </w:p>
        </w:tc>
        <w:tc>
          <w:tcPr>
            <w:tcW w:w="1701" w:type="dxa"/>
            <w:vAlign w:val="center"/>
          </w:tcPr>
          <w:p>
            <w:pPr>
              <w:spacing w:line="400" w:lineRule="exac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2017年-</w:t>
            </w:r>
          </w:p>
        </w:tc>
        <w:tc>
          <w:tcPr>
            <w:tcW w:w="1418"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5</w:t>
            </w:r>
          </w:p>
        </w:tc>
        <w:tc>
          <w:tcPr>
            <w:tcW w:w="709"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00" w:hRule="atLeast"/>
          <w:jc w:val="center"/>
        </w:trPr>
        <w:tc>
          <w:tcPr>
            <w:tcW w:w="710"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3</w:t>
            </w:r>
          </w:p>
        </w:tc>
        <w:tc>
          <w:tcPr>
            <w:tcW w:w="4170" w:type="dxa"/>
            <w:vAlign w:val="center"/>
          </w:tcPr>
          <w:p>
            <w:pPr>
              <w:spacing w:line="400" w:lineRule="exac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陕西省高等学校创新创业教育改革试点学院</w:t>
            </w:r>
          </w:p>
        </w:tc>
        <w:tc>
          <w:tcPr>
            <w:tcW w:w="1899"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陕教高办〔2017〕3号</w:t>
            </w:r>
          </w:p>
        </w:tc>
        <w:tc>
          <w:tcPr>
            <w:tcW w:w="1078"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徐炎</w:t>
            </w:r>
          </w:p>
        </w:tc>
        <w:tc>
          <w:tcPr>
            <w:tcW w:w="2381" w:type="dxa"/>
            <w:vAlign w:val="center"/>
          </w:tcPr>
          <w:p>
            <w:pPr>
              <w:spacing w:line="400" w:lineRule="exac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学院全体教师</w:t>
            </w:r>
          </w:p>
        </w:tc>
        <w:tc>
          <w:tcPr>
            <w:tcW w:w="1701" w:type="dxa"/>
            <w:vAlign w:val="center"/>
          </w:tcPr>
          <w:p>
            <w:pPr>
              <w:spacing w:line="400" w:lineRule="exac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2017年-</w:t>
            </w:r>
          </w:p>
        </w:tc>
        <w:tc>
          <w:tcPr>
            <w:tcW w:w="1418" w:type="dxa"/>
            <w:vAlign w:val="center"/>
          </w:tcPr>
          <w:p>
            <w:pPr>
              <w:spacing w:line="400" w:lineRule="exact"/>
              <w:jc w:val="center"/>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10</w:t>
            </w:r>
          </w:p>
        </w:tc>
        <w:tc>
          <w:tcPr>
            <w:tcW w:w="709"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00" w:hRule="atLeast"/>
          <w:jc w:val="center"/>
        </w:trPr>
        <w:tc>
          <w:tcPr>
            <w:tcW w:w="710"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4</w:t>
            </w:r>
          </w:p>
        </w:tc>
        <w:tc>
          <w:tcPr>
            <w:tcW w:w="4170" w:type="dxa"/>
            <w:vAlign w:val="center"/>
          </w:tcPr>
          <w:p>
            <w:pPr>
              <w:spacing w:line="400" w:lineRule="exac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陕西省大学生校外创新创业基地建设项目</w:t>
            </w:r>
          </w:p>
        </w:tc>
        <w:tc>
          <w:tcPr>
            <w:tcW w:w="1899" w:type="dxa"/>
            <w:vAlign w:val="center"/>
          </w:tcPr>
          <w:p>
            <w:pPr>
              <w:spacing w:line="400" w:lineRule="exact"/>
              <w:jc w:val="center"/>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陕教高办〔2018〕17号</w:t>
            </w:r>
          </w:p>
        </w:tc>
        <w:tc>
          <w:tcPr>
            <w:tcW w:w="1078" w:type="dxa"/>
            <w:vAlign w:val="center"/>
          </w:tcPr>
          <w:p>
            <w:pPr>
              <w:spacing w:line="400" w:lineRule="exact"/>
              <w:jc w:val="center"/>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徐炎</w:t>
            </w:r>
          </w:p>
        </w:tc>
        <w:tc>
          <w:tcPr>
            <w:tcW w:w="2381" w:type="dxa"/>
            <w:vAlign w:val="center"/>
          </w:tcPr>
          <w:p>
            <w:pPr>
              <w:spacing w:line="400" w:lineRule="exac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学院全体教师</w:t>
            </w:r>
          </w:p>
        </w:tc>
        <w:tc>
          <w:tcPr>
            <w:tcW w:w="1701" w:type="dxa"/>
            <w:vAlign w:val="center"/>
          </w:tcPr>
          <w:p>
            <w:pPr>
              <w:spacing w:line="400" w:lineRule="exact"/>
              <w:rPr>
                <w:rFonts w:ascii="Times New Roman" w:hAnsi="Times New Roman" w:eastAsia="仿宋" w:cs="Times New Roman"/>
                <w:color w:val="000000" w:themeColor="text1"/>
                <w:sz w:val="28"/>
                <w:szCs w:val="28"/>
              </w:rPr>
            </w:pPr>
            <w:r>
              <w:rPr>
                <w:rFonts w:ascii="Times New Roman" w:hAnsi="Times New Roman" w:eastAsia="仿宋" w:cs="Times New Roman"/>
                <w:color w:val="000000" w:themeColor="text1"/>
                <w:sz w:val="28"/>
                <w:szCs w:val="28"/>
              </w:rPr>
              <w:t>2018年-</w:t>
            </w:r>
          </w:p>
        </w:tc>
        <w:tc>
          <w:tcPr>
            <w:tcW w:w="1418" w:type="dxa"/>
            <w:vAlign w:val="center"/>
          </w:tcPr>
          <w:p>
            <w:pPr>
              <w:spacing w:line="400" w:lineRule="exact"/>
              <w:jc w:val="center"/>
              <w:rPr>
                <w:rFonts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0</w:t>
            </w:r>
          </w:p>
        </w:tc>
        <w:tc>
          <w:tcPr>
            <w:tcW w:w="709" w:type="dxa"/>
            <w:vAlign w:val="center"/>
          </w:tcPr>
          <w:p>
            <w:pPr>
              <w:spacing w:line="400" w:lineRule="exact"/>
              <w:jc w:val="center"/>
              <w:rPr>
                <w:rFonts w:hint="eastAsia" w:ascii="Times New Roman" w:hAnsi="Times New Roman" w:eastAsia="仿宋" w:cs="Times New Roman"/>
                <w:color w:val="000000" w:themeColor="text1"/>
                <w:sz w:val="28"/>
                <w:szCs w:val="28"/>
              </w:rPr>
            </w:pPr>
            <w:r>
              <w:rPr>
                <w:rFonts w:hint="eastAsia" w:ascii="Times New Roman" w:hAnsi="Times New Roman" w:eastAsia="仿宋" w:cs="Times New Roman"/>
                <w:color w:val="000000" w:themeColor="text1"/>
                <w:sz w:val="28"/>
                <w:szCs w:val="28"/>
              </w:rPr>
              <w:t>b</w:t>
            </w:r>
          </w:p>
        </w:tc>
      </w:tr>
    </w:tbl>
    <w:p>
      <w:pPr>
        <w:spacing w:before="156" w:beforeLines="50"/>
        <w:ind w:left="2" w:leftChars="1"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bCs/>
          <w:color w:val="000000" w:themeColor="text1"/>
          <w:szCs w:val="21"/>
        </w:rPr>
        <w:t>注：</w:t>
      </w:r>
      <w:r>
        <w:rPr>
          <w:rFonts w:ascii="Times New Roman" w:hAnsi="Times New Roman" w:eastAsia="楷体" w:cs="Times New Roman"/>
          <w:color w:val="000000" w:themeColor="text1"/>
          <w:szCs w:val="21"/>
        </w:rPr>
        <w:t>（1）此表填写省部级以上教学改革项目</w:t>
      </w:r>
      <w:r>
        <w:rPr>
          <w:rFonts w:ascii="Times New Roman" w:hAnsi="Times New Roman" w:eastAsia="楷体" w:cs="Times New Roman"/>
          <w:bCs/>
          <w:color w:val="000000" w:themeColor="text1"/>
          <w:szCs w:val="21"/>
        </w:rPr>
        <w:t>（课题）名称：</w:t>
      </w:r>
      <w:r>
        <w:rPr>
          <w:rFonts w:ascii="Times New Roman" w:hAnsi="Times New Roman" w:eastAsia="楷体" w:cs="Times New Roman"/>
          <w:color w:val="000000" w:themeColor="text1"/>
          <w:szCs w:val="21"/>
        </w:rPr>
        <w:t>项目管理部门下达的有正式文号的最小一级子课题名称。（2）</w:t>
      </w:r>
      <w:r>
        <w:rPr>
          <w:rFonts w:ascii="Times New Roman" w:hAnsi="Times New Roman" w:eastAsia="楷体" w:cs="Times New Roman"/>
          <w:bCs/>
          <w:color w:val="000000" w:themeColor="text1"/>
          <w:szCs w:val="21"/>
        </w:rPr>
        <w:t>文号：</w:t>
      </w:r>
      <w:r>
        <w:rPr>
          <w:rFonts w:ascii="Times New Roman" w:hAnsi="Times New Roman" w:eastAsia="楷体" w:cs="Times New Roman"/>
          <w:color w:val="000000" w:themeColor="text1"/>
          <w:szCs w:val="21"/>
        </w:rPr>
        <w:t>项目管理部门下达文件的文号。（3）负责人：必须是中心固定人员。（4）</w:t>
      </w:r>
      <w:r>
        <w:rPr>
          <w:rFonts w:ascii="Times New Roman" w:hAnsi="Times New Roman" w:eastAsia="楷体" w:cs="Times New Roman"/>
          <w:bCs/>
          <w:color w:val="000000" w:themeColor="text1"/>
          <w:szCs w:val="21"/>
        </w:rPr>
        <w:t>参加人员：</w:t>
      </w:r>
      <w:r>
        <w:rPr>
          <w:rFonts w:ascii="Times New Roman" w:hAnsi="Times New Roman" w:eastAsia="楷体" w:cs="Times New Roman"/>
          <w:color w:val="000000" w:themeColor="text1"/>
          <w:szCs w:val="21"/>
        </w:rPr>
        <w:t>所有参加人员，其中研究生、博士后名字后标注*，非本中心人员名字后标注＃。（5）</w:t>
      </w:r>
      <w:r>
        <w:rPr>
          <w:rFonts w:ascii="Times New Roman" w:hAnsi="Times New Roman" w:eastAsia="楷体" w:cs="Times New Roman"/>
          <w:bCs/>
          <w:color w:val="000000" w:themeColor="text1"/>
          <w:szCs w:val="21"/>
        </w:rPr>
        <w:t>经费：</w:t>
      </w:r>
      <w:r>
        <w:rPr>
          <w:rFonts w:ascii="Times New Roman" w:hAnsi="Times New Roman" w:eastAsia="楷体" w:cs="Times New Roman"/>
          <w:color w:val="000000" w:themeColor="text1"/>
          <w:szCs w:val="21"/>
        </w:rPr>
        <w:t>指示范中心本年度实际到账的研究经费。（6）</w:t>
      </w:r>
      <w:r>
        <w:rPr>
          <w:rFonts w:ascii="Times New Roman" w:hAnsi="Times New Roman" w:eastAsia="楷体" w:cs="Times New Roman"/>
          <w:bCs/>
          <w:color w:val="000000" w:themeColor="text1"/>
          <w:szCs w:val="21"/>
        </w:rPr>
        <w:t>类别：</w:t>
      </w:r>
      <w:r>
        <w:rPr>
          <w:rFonts w:ascii="Times New Roman" w:hAnsi="Times New Roman" w:eastAsia="楷体" w:cs="Times New Roman"/>
          <w:color w:val="000000" w:themeColor="text1"/>
          <w:szCs w:val="21"/>
        </w:rPr>
        <w:t>分为a、b两类，a类课题指以示范中心为主的课题；b类课题指本示范中心协同其它单位研究的课题。</w:t>
      </w:r>
    </w:p>
    <w:p>
      <w:pPr>
        <w:pStyle w:val="4"/>
        <w:spacing w:before="0" w:after="0" w:line="240" w:lineRule="auto"/>
        <w:ind w:firstLine="560" w:firstLineChars="200"/>
        <w:rPr>
          <w:rFonts w:hint="eastAsia" w:ascii="Times New Roman" w:hAnsi="Times New Roman" w:eastAsia="楷体_GB2312" w:cs="Times New Roman"/>
          <w:color w:val="000000" w:themeColor="text1"/>
          <w:sz w:val="28"/>
          <w:szCs w:val="28"/>
        </w:rPr>
      </w:pPr>
      <w:bookmarkStart w:id="132" w:name="_Toc535227429"/>
      <w:r>
        <w:rPr>
          <w:rFonts w:ascii="Times New Roman" w:hAnsi="Times New Roman" w:eastAsia="楷体_GB2312" w:cs="Times New Roman"/>
          <w:color w:val="000000" w:themeColor="text1"/>
          <w:sz w:val="28"/>
          <w:szCs w:val="28"/>
        </w:rPr>
        <w:t>（二）承担科研任务及经费</w:t>
      </w:r>
      <w:bookmarkEnd w:id="132"/>
    </w:p>
    <w:tbl>
      <w:tblPr>
        <w:tblStyle w:val="22"/>
        <w:tblW w:w="1288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41"/>
        <w:gridCol w:w="3950"/>
        <w:gridCol w:w="2066"/>
        <w:gridCol w:w="851"/>
        <w:gridCol w:w="3164"/>
        <w:gridCol w:w="1478"/>
        <w:gridCol w:w="8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80" w:hRule="exact"/>
          <w:tblHeader/>
          <w:jc w:val="center"/>
        </w:trPr>
        <w:tc>
          <w:tcPr>
            <w:tcW w:w="541" w:type="dxa"/>
            <w:vAlign w:val="center"/>
          </w:tcPr>
          <w:p>
            <w:pPr>
              <w:ind w:left="-105" w:leftChars="-50" w:right="-105" w:rightChars="-50"/>
              <w:jc w:val="center"/>
              <w:rPr>
                <w:rFonts w:ascii="Times New Roman" w:hAnsi="Times New Roman" w:eastAsia="黑体" w:cs="Times New Roman"/>
                <w:szCs w:val="21"/>
              </w:rPr>
            </w:pPr>
            <w:r>
              <w:rPr>
                <w:rFonts w:ascii="Times New Roman" w:hAnsi="Times New Roman" w:eastAsia="黑体" w:cs="Times New Roman"/>
                <w:szCs w:val="21"/>
              </w:rPr>
              <w:t>序号</w:t>
            </w:r>
          </w:p>
        </w:tc>
        <w:tc>
          <w:tcPr>
            <w:tcW w:w="3950" w:type="dxa"/>
            <w:vAlign w:val="center"/>
          </w:tcPr>
          <w:p>
            <w:pPr>
              <w:ind w:left="-50" w:right="-50"/>
              <w:jc w:val="center"/>
              <w:rPr>
                <w:rFonts w:ascii="Times New Roman" w:hAnsi="Times New Roman" w:eastAsia="黑体" w:cs="Times New Roman"/>
                <w:szCs w:val="21"/>
              </w:rPr>
            </w:pPr>
            <w:r>
              <w:rPr>
                <w:rFonts w:ascii="Times New Roman" w:hAnsi="Times New Roman" w:eastAsia="黑体" w:cs="Times New Roman"/>
                <w:szCs w:val="21"/>
              </w:rPr>
              <w:t>项目/课题名称</w:t>
            </w:r>
          </w:p>
        </w:tc>
        <w:tc>
          <w:tcPr>
            <w:tcW w:w="2066" w:type="dxa"/>
            <w:vAlign w:val="center"/>
          </w:tcPr>
          <w:p>
            <w:pPr>
              <w:ind w:left="-105" w:leftChars="-50" w:right="-105" w:rightChars="-50"/>
              <w:jc w:val="center"/>
              <w:rPr>
                <w:rFonts w:ascii="Times New Roman" w:hAnsi="Times New Roman" w:eastAsia="黑体" w:cs="Times New Roman"/>
                <w:szCs w:val="21"/>
              </w:rPr>
            </w:pPr>
            <w:r>
              <w:rPr>
                <w:rFonts w:ascii="Times New Roman" w:hAnsi="Times New Roman" w:eastAsia="黑体" w:cs="Times New Roman"/>
                <w:szCs w:val="21"/>
              </w:rPr>
              <w:t>文号</w:t>
            </w:r>
          </w:p>
        </w:tc>
        <w:tc>
          <w:tcPr>
            <w:tcW w:w="851" w:type="dxa"/>
            <w:vAlign w:val="center"/>
          </w:tcPr>
          <w:p>
            <w:pPr>
              <w:ind w:left="-105" w:leftChars="-50" w:right="-105" w:rightChars="-50"/>
              <w:jc w:val="center"/>
              <w:rPr>
                <w:rFonts w:ascii="Times New Roman" w:hAnsi="Times New Roman" w:eastAsia="黑体" w:cs="Times New Roman"/>
                <w:szCs w:val="21"/>
              </w:rPr>
            </w:pPr>
            <w:r>
              <w:rPr>
                <w:rFonts w:ascii="Times New Roman" w:hAnsi="Times New Roman" w:eastAsia="黑体" w:cs="Times New Roman"/>
                <w:szCs w:val="21"/>
              </w:rPr>
              <w:t>负责人</w:t>
            </w:r>
          </w:p>
        </w:tc>
        <w:tc>
          <w:tcPr>
            <w:tcW w:w="3164" w:type="dxa"/>
            <w:vAlign w:val="center"/>
          </w:tcPr>
          <w:p>
            <w:pPr>
              <w:ind w:left="-50" w:right="-50"/>
              <w:jc w:val="center"/>
              <w:rPr>
                <w:rFonts w:ascii="Times New Roman" w:hAnsi="Times New Roman" w:eastAsia="黑体" w:cs="Times New Roman"/>
                <w:szCs w:val="21"/>
              </w:rPr>
            </w:pPr>
            <w:r>
              <w:rPr>
                <w:rFonts w:ascii="Times New Roman" w:hAnsi="Times New Roman" w:eastAsia="黑体" w:cs="Times New Roman"/>
                <w:szCs w:val="21"/>
              </w:rPr>
              <w:t>参加人员</w:t>
            </w:r>
          </w:p>
        </w:tc>
        <w:tc>
          <w:tcPr>
            <w:tcW w:w="1478" w:type="dxa"/>
            <w:vAlign w:val="center"/>
          </w:tcPr>
          <w:p>
            <w:pPr>
              <w:ind w:left="-105" w:leftChars="-50" w:right="-105" w:rightChars="-50"/>
              <w:jc w:val="center"/>
              <w:rPr>
                <w:rFonts w:ascii="Times New Roman" w:hAnsi="Times New Roman" w:eastAsia="黑体" w:cs="Times New Roman"/>
                <w:szCs w:val="21"/>
              </w:rPr>
            </w:pPr>
            <w:r>
              <w:rPr>
                <w:rFonts w:ascii="Times New Roman" w:hAnsi="Times New Roman" w:eastAsia="黑体" w:cs="Times New Roman"/>
                <w:szCs w:val="21"/>
              </w:rPr>
              <w:t>起止时间</w:t>
            </w:r>
          </w:p>
        </w:tc>
        <w:tc>
          <w:tcPr>
            <w:tcW w:w="830" w:type="dxa"/>
            <w:vAlign w:val="center"/>
          </w:tcPr>
          <w:p>
            <w:pPr>
              <w:ind w:left="-105" w:leftChars="-50" w:right="-105" w:rightChars="-50"/>
              <w:jc w:val="center"/>
              <w:rPr>
                <w:rFonts w:ascii="Times New Roman" w:hAnsi="Times New Roman" w:eastAsia="黑体" w:cs="Times New Roman"/>
                <w:szCs w:val="21"/>
              </w:rPr>
            </w:pPr>
            <w:r>
              <w:rPr>
                <w:rFonts w:ascii="Times New Roman" w:hAnsi="Times New Roman" w:eastAsia="黑体" w:cs="Times New Roman"/>
                <w:szCs w:val="21"/>
              </w:rPr>
              <w:t>经费</w:t>
            </w:r>
          </w:p>
          <w:p>
            <w:pPr>
              <w:ind w:left="-105" w:leftChars="-50" w:right="-105" w:rightChars="-50"/>
              <w:jc w:val="center"/>
              <w:rPr>
                <w:rFonts w:ascii="Times New Roman" w:hAnsi="Times New Roman" w:eastAsia="黑体" w:cs="Times New Roman"/>
                <w:szCs w:val="21"/>
              </w:rPr>
            </w:pPr>
            <w:r>
              <w:rPr>
                <w:rFonts w:ascii="Times New Roman" w:hAnsi="Times New Roman" w:eastAsia="黑体" w:cs="Times New Roman"/>
                <w:szCs w:val="21"/>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w:t>
            </w:r>
          </w:p>
        </w:tc>
        <w:tc>
          <w:tcPr>
            <w:tcW w:w="3950"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苹果优质安全生产关键技术研究与示范</w:t>
            </w:r>
          </w:p>
        </w:tc>
        <w:tc>
          <w:tcPr>
            <w:tcW w:w="2066"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2014BAD16B02-4</w:t>
            </w:r>
          </w:p>
        </w:tc>
        <w:tc>
          <w:tcPr>
            <w:tcW w:w="85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梁俊</w:t>
            </w:r>
          </w:p>
        </w:tc>
        <w:tc>
          <w:tcPr>
            <w:tcW w:w="3164"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安贵阳、郭延平、杜志辉</w:t>
            </w:r>
          </w:p>
        </w:tc>
        <w:tc>
          <w:tcPr>
            <w:tcW w:w="1478"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201401</w:t>
            </w:r>
            <w:r>
              <w:rPr>
                <w:rStyle w:val="49"/>
                <w:rFonts w:hint="default" w:ascii="仿宋" w:hAnsi="仿宋" w:eastAsia="仿宋" w:cs="Times New Roman"/>
                <w:color w:val="auto"/>
                <w:sz w:val="21"/>
                <w:szCs w:val="21"/>
              </w:rPr>
              <w:t>-</w:t>
            </w:r>
            <w:r>
              <w:rPr>
                <w:rFonts w:ascii="仿宋" w:hAnsi="仿宋" w:eastAsia="仿宋" w:cs="Times New Roman"/>
                <w:kern w:val="0"/>
                <w:szCs w:val="21"/>
              </w:rPr>
              <w:t>201812</w:t>
            </w:r>
          </w:p>
        </w:tc>
        <w:tc>
          <w:tcPr>
            <w:tcW w:w="830"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2</w:t>
            </w:r>
          </w:p>
        </w:tc>
        <w:tc>
          <w:tcPr>
            <w:tcW w:w="3950"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核果类果树优质高效生产关键技术研究与示范</w:t>
            </w:r>
          </w:p>
        </w:tc>
        <w:tc>
          <w:tcPr>
            <w:tcW w:w="2066"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2014BAD16B04</w:t>
            </w:r>
          </w:p>
        </w:tc>
        <w:tc>
          <w:tcPr>
            <w:tcW w:w="85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范崇辉</w:t>
            </w:r>
          </w:p>
        </w:tc>
        <w:tc>
          <w:tcPr>
            <w:tcW w:w="3164"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赵彩萍、李高潮、刘航空</w:t>
            </w:r>
          </w:p>
        </w:tc>
        <w:tc>
          <w:tcPr>
            <w:tcW w:w="1478"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201401</w:t>
            </w:r>
            <w:r>
              <w:rPr>
                <w:rStyle w:val="49"/>
                <w:rFonts w:hint="default" w:ascii="仿宋" w:hAnsi="仿宋" w:eastAsia="仿宋" w:cs="Times New Roman"/>
                <w:color w:val="auto"/>
                <w:sz w:val="21"/>
                <w:szCs w:val="21"/>
              </w:rPr>
              <w:t>-</w:t>
            </w:r>
            <w:r>
              <w:rPr>
                <w:rFonts w:ascii="仿宋" w:hAnsi="仿宋" w:eastAsia="仿宋" w:cs="Times New Roman"/>
                <w:kern w:val="0"/>
                <w:szCs w:val="21"/>
              </w:rPr>
              <w:t>201812</w:t>
            </w:r>
          </w:p>
        </w:tc>
        <w:tc>
          <w:tcPr>
            <w:tcW w:w="830"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3</w:t>
            </w:r>
          </w:p>
        </w:tc>
        <w:tc>
          <w:tcPr>
            <w:tcW w:w="3950"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北方果树肥水一体化高效利用技术研究</w:t>
            </w:r>
          </w:p>
        </w:tc>
        <w:tc>
          <w:tcPr>
            <w:tcW w:w="2066"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2014BAD16B00</w:t>
            </w:r>
          </w:p>
        </w:tc>
        <w:tc>
          <w:tcPr>
            <w:tcW w:w="85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赵政阳</w:t>
            </w:r>
          </w:p>
        </w:tc>
        <w:tc>
          <w:tcPr>
            <w:tcW w:w="3164"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高华、郭延平、李会科</w:t>
            </w:r>
          </w:p>
        </w:tc>
        <w:tc>
          <w:tcPr>
            <w:tcW w:w="1478"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201401</w:t>
            </w:r>
            <w:r>
              <w:rPr>
                <w:rStyle w:val="49"/>
                <w:rFonts w:hint="default" w:ascii="仿宋" w:hAnsi="仿宋" w:eastAsia="仿宋" w:cs="Times New Roman"/>
                <w:color w:val="auto"/>
                <w:sz w:val="21"/>
                <w:szCs w:val="21"/>
              </w:rPr>
              <w:t>-</w:t>
            </w:r>
            <w:r>
              <w:rPr>
                <w:rFonts w:ascii="仿宋" w:hAnsi="仿宋" w:eastAsia="仿宋" w:cs="Times New Roman"/>
                <w:kern w:val="0"/>
                <w:szCs w:val="21"/>
              </w:rPr>
              <w:t>201812</w:t>
            </w:r>
          </w:p>
        </w:tc>
        <w:tc>
          <w:tcPr>
            <w:tcW w:w="830"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4</w:t>
            </w:r>
          </w:p>
        </w:tc>
        <w:tc>
          <w:tcPr>
            <w:tcW w:w="3950"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黄瓜杂种优势利用技术与强优势杂交种创制</w:t>
            </w:r>
          </w:p>
        </w:tc>
        <w:tc>
          <w:tcPr>
            <w:tcW w:w="2066"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2016YFD0101705</w:t>
            </w:r>
          </w:p>
        </w:tc>
        <w:tc>
          <w:tcPr>
            <w:tcW w:w="85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孟焕文</w:t>
            </w:r>
          </w:p>
        </w:tc>
        <w:tc>
          <w:tcPr>
            <w:tcW w:w="3164"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程智慧、李玉红、陈书霞</w:t>
            </w:r>
          </w:p>
        </w:tc>
        <w:tc>
          <w:tcPr>
            <w:tcW w:w="1478"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201607-</w:t>
            </w:r>
            <w:r>
              <w:rPr>
                <w:rStyle w:val="48"/>
                <w:rFonts w:hint="default" w:ascii="仿宋" w:hAnsi="仿宋" w:eastAsia="仿宋" w:cs="Times New Roman"/>
                <w:color w:val="auto"/>
                <w:sz w:val="21"/>
                <w:szCs w:val="21"/>
              </w:rPr>
              <w:t>202012</w:t>
            </w:r>
          </w:p>
        </w:tc>
        <w:tc>
          <w:tcPr>
            <w:tcW w:w="830" w:type="dxa"/>
            <w:shd w:val="clear" w:color="auto" w:fill="auto"/>
            <w:vAlign w:val="center"/>
          </w:tcPr>
          <w:p>
            <w:pPr>
              <w:widowControl/>
              <w:jc w:val="center"/>
              <w:textAlignment w:val="center"/>
              <w:rPr>
                <w:rFonts w:ascii="仿宋" w:hAnsi="仿宋" w:eastAsia="仿宋" w:cs="Times New Roman"/>
                <w:szCs w:val="21"/>
              </w:rPr>
            </w:pPr>
            <w:r>
              <w:rPr>
                <w:rFonts w:ascii="仿宋" w:hAnsi="仿宋" w:eastAsia="仿宋" w:cs="Times New Roman"/>
                <w:kern w:val="0"/>
                <w:sz w:val="24"/>
                <w:szCs w:val="24"/>
              </w:rPr>
              <w:t>67.58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w:t>
            </w:r>
          </w:p>
        </w:tc>
        <w:tc>
          <w:tcPr>
            <w:tcW w:w="3950"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白菜杂种优势利用技术与强优势杂交种创制</w:t>
            </w:r>
          </w:p>
        </w:tc>
        <w:tc>
          <w:tcPr>
            <w:tcW w:w="2066"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2016YFD0101701</w:t>
            </w:r>
          </w:p>
        </w:tc>
        <w:tc>
          <w:tcPr>
            <w:tcW w:w="85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张鲁刚</w:t>
            </w:r>
          </w:p>
        </w:tc>
        <w:tc>
          <w:tcPr>
            <w:tcW w:w="3164"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惠麦霞、张明科、聂珊珊</w:t>
            </w:r>
          </w:p>
        </w:tc>
        <w:tc>
          <w:tcPr>
            <w:tcW w:w="1478"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201607-</w:t>
            </w:r>
            <w:r>
              <w:rPr>
                <w:rStyle w:val="48"/>
                <w:rFonts w:hint="default" w:ascii="仿宋" w:hAnsi="仿宋" w:eastAsia="仿宋" w:cs="Times New Roman"/>
                <w:color w:val="auto"/>
                <w:sz w:val="21"/>
                <w:szCs w:val="21"/>
              </w:rPr>
              <w:t>202012</w:t>
            </w:r>
          </w:p>
        </w:tc>
        <w:tc>
          <w:tcPr>
            <w:tcW w:w="830"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48.19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w:t>
            </w:r>
          </w:p>
        </w:tc>
        <w:tc>
          <w:tcPr>
            <w:tcW w:w="3950"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苹果园依水调肥技术研发与集成</w:t>
            </w:r>
          </w:p>
        </w:tc>
        <w:tc>
          <w:tcPr>
            <w:tcW w:w="2066"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2016YFD0201102</w:t>
            </w:r>
          </w:p>
        </w:tc>
        <w:tc>
          <w:tcPr>
            <w:tcW w:w="85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李明军</w:t>
            </w:r>
          </w:p>
        </w:tc>
        <w:tc>
          <w:tcPr>
            <w:tcW w:w="3164"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邹养军、王南南、李玉才、李创</w:t>
            </w:r>
          </w:p>
        </w:tc>
        <w:tc>
          <w:tcPr>
            <w:tcW w:w="1478"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201601-</w:t>
            </w:r>
            <w:r>
              <w:rPr>
                <w:rStyle w:val="48"/>
                <w:rFonts w:hint="default" w:ascii="仿宋" w:hAnsi="仿宋" w:eastAsia="仿宋" w:cs="Times New Roman"/>
                <w:color w:val="auto"/>
                <w:sz w:val="21"/>
                <w:szCs w:val="21"/>
              </w:rPr>
              <w:t>202012</w:t>
            </w:r>
          </w:p>
        </w:tc>
        <w:tc>
          <w:tcPr>
            <w:tcW w:w="830"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89" w:hRule="atLeast"/>
          <w:jc w:val="center"/>
        </w:trPr>
        <w:tc>
          <w:tcPr>
            <w:tcW w:w="54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w:t>
            </w:r>
          </w:p>
        </w:tc>
        <w:tc>
          <w:tcPr>
            <w:tcW w:w="3950"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甘蓝杂种优势利用技术与强优势杂交种创制</w:t>
            </w:r>
          </w:p>
        </w:tc>
        <w:tc>
          <w:tcPr>
            <w:tcW w:w="2066"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2016YFD0101702-4</w:t>
            </w:r>
          </w:p>
        </w:tc>
        <w:tc>
          <w:tcPr>
            <w:tcW w:w="85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许忠民</w:t>
            </w:r>
          </w:p>
        </w:tc>
        <w:tc>
          <w:tcPr>
            <w:tcW w:w="3164"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张恩慧、曾庆栋、赵利民</w:t>
            </w:r>
          </w:p>
        </w:tc>
        <w:tc>
          <w:tcPr>
            <w:tcW w:w="1478"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201607-</w:t>
            </w:r>
            <w:r>
              <w:rPr>
                <w:rStyle w:val="48"/>
                <w:rFonts w:hint="default" w:ascii="仿宋" w:hAnsi="仿宋" w:eastAsia="仿宋" w:cs="Times New Roman"/>
                <w:color w:val="auto"/>
                <w:sz w:val="21"/>
                <w:szCs w:val="21"/>
              </w:rPr>
              <w:t>202012</w:t>
            </w:r>
          </w:p>
        </w:tc>
        <w:tc>
          <w:tcPr>
            <w:tcW w:w="830"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w:t>
            </w:r>
          </w:p>
        </w:tc>
        <w:tc>
          <w:tcPr>
            <w:tcW w:w="3950"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渭北苹果化肥减施增效技术集成研究与示范</w:t>
            </w:r>
          </w:p>
        </w:tc>
        <w:tc>
          <w:tcPr>
            <w:tcW w:w="2066"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2016YFD0201131</w:t>
            </w:r>
          </w:p>
        </w:tc>
        <w:tc>
          <w:tcPr>
            <w:tcW w:w="85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高华</w:t>
            </w:r>
          </w:p>
        </w:tc>
        <w:tc>
          <w:tcPr>
            <w:tcW w:w="3164"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刘振中、王雷存、赵政阳</w:t>
            </w:r>
          </w:p>
        </w:tc>
        <w:tc>
          <w:tcPr>
            <w:tcW w:w="1478"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201601-</w:t>
            </w:r>
            <w:r>
              <w:rPr>
                <w:rStyle w:val="48"/>
                <w:rFonts w:hint="default" w:ascii="仿宋" w:hAnsi="仿宋" w:eastAsia="仿宋" w:cs="Times New Roman"/>
                <w:color w:val="auto"/>
                <w:sz w:val="21"/>
                <w:szCs w:val="21"/>
              </w:rPr>
              <w:t>202012</w:t>
            </w:r>
          </w:p>
        </w:tc>
        <w:tc>
          <w:tcPr>
            <w:tcW w:w="830"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89" w:hRule="atLeast"/>
          <w:jc w:val="center"/>
        </w:trPr>
        <w:tc>
          <w:tcPr>
            <w:tcW w:w="54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w:t>
            </w:r>
          </w:p>
        </w:tc>
        <w:tc>
          <w:tcPr>
            <w:tcW w:w="3950"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陕北苹果化肥减施增效技术集成研究与示范</w:t>
            </w:r>
          </w:p>
        </w:tc>
        <w:tc>
          <w:tcPr>
            <w:tcW w:w="2066"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2016YFD0201130</w:t>
            </w:r>
          </w:p>
        </w:tc>
        <w:tc>
          <w:tcPr>
            <w:tcW w:w="851" w:type="dxa"/>
            <w:shd w:val="clear" w:color="auto" w:fill="auto"/>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李翠英</w:t>
            </w:r>
          </w:p>
        </w:tc>
        <w:tc>
          <w:tcPr>
            <w:tcW w:w="3164" w:type="dxa"/>
            <w:shd w:val="clear" w:color="auto" w:fill="auto"/>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龚小庆、符轩畅、梁微、贺武春</w:t>
            </w:r>
          </w:p>
        </w:tc>
        <w:tc>
          <w:tcPr>
            <w:tcW w:w="1478"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201601-</w:t>
            </w:r>
            <w:r>
              <w:rPr>
                <w:rStyle w:val="48"/>
                <w:rFonts w:hint="default" w:ascii="仿宋" w:hAnsi="仿宋" w:eastAsia="仿宋" w:cs="Times New Roman"/>
                <w:color w:val="auto"/>
                <w:sz w:val="21"/>
                <w:szCs w:val="21"/>
              </w:rPr>
              <w:t>202012</w:t>
            </w:r>
          </w:p>
        </w:tc>
        <w:tc>
          <w:tcPr>
            <w:tcW w:w="830" w:type="dxa"/>
            <w:shd w:val="clear" w:color="auto" w:fill="auto"/>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10</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生鲜食用农产品质地品质变化机制与调控</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2016YFD0400102</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饶景萍</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任小林、韩叶、班秋妍、李桦</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201607-</w:t>
            </w:r>
            <w:r>
              <w:rPr>
                <w:rStyle w:val="48"/>
                <w:rFonts w:hint="default" w:ascii="仿宋" w:hAnsi="仿宋" w:eastAsia="仿宋" w:cs="Times New Roman"/>
                <w:color w:val="auto"/>
                <w:sz w:val="21"/>
                <w:szCs w:val="21"/>
              </w:rPr>
              <w:t>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55.5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11</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番茄杂种优势利用技术与强优势杂交种创制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2016YFD0101703</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梁燕</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李继纲、宫海军、郭佳、张颜</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201607-</w:t>
            </w:r>
            <w:r>
              <w:rPr>
                <w:rStyle w:val="48"/>
                <w:rFonts w:hint="default" w:ascii="仿宋" w:hAnsi="仿宋" w:eastAsia="仿宋" w:cs="Times New Roman"/>
                <w:color w:val="auto"/>
                <w:sz w:val="21"/>
                <w:szCs w:val="21"/>
              </w:rPr>
              <w:t>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49.1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12</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番茄种质资源创新与利用</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2016YFD0100204-30</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张颜</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梁燕、宫海军、郭佳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201607-</w:t>
            </w:r>
            <w:r>
              <w:rPr>
                <w:rStyle w:val="48"/>
                <w:rFonts w:hint="default" w:ascii="仿宋" w:hAnsi="仿宋" w:eastAsia="仿宋" w:cs="Times New Roman"/>
                <w:color w:val="auto"/>
                <w:sz w:val="21"/>
                <w:szCs w:val="21"/>
              </w:rPr>
              <w:t>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13</w:t>
            </w:r>
          </w:p>
        </w:tc>
        <w:tc>
          <w:tcPr>
            <w:tcW w:w="3950"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kern w:val="0"/>
                <w:szCs w:val="21"/>
              </w:rPr>
              <w:t>西北干旱区设施蔬菜化肥农药减施技术模式建立与示范</w:t>
            </w:r>
          </w:p>
        </w:tc>
        <w:tc>
          <w:tcPr>
            <w:tcW w:w="2066" w:type="dxa"/>
            <w:vAlign w:val="center"/>
          </w:tcPr>
          <w:p>
            <w:pPr>
              <w:widowControl/>
              <w:spacing w:line="240" w:lineRule="exact"/>
              <w:jc w:val="left"/>
              <w:textAlignment w:val="center"/>
              <w:rPr>
                <w:rFonts w:ascii="仿宋" w:hAnsi="仿宋" w:eastAsia="仿宋" w:cs="Times New Roman"/>
                <w:szCs w:val="21"/>
              </w:rPr>
            </w:pPr>
            <w:r>
              <w:rPr>
                <w:rFonts w:hint="eastAsia" w:ascii="仿宋" w:hAnsi="仿宋" w:eastAsia="仿宋" w:cs="Times New Roman"/>
                <w:kern w:val="0"/>
                <w:szCs w:val="21"/>
              </w:rPr>
              <w:t>2016YFD0100204-30</w:t>
            </w:r>
          </w:p>
        </w:tc>
        <w:tc>
          <w:tcPr>
            <w:tcW w:w="851"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kern w:val="0"/>
                <w:szCs w:val="21"/>
              </w:rPr>
              <w:t>胡晓辉</w:t>
            </w:r>
          </w:p>
        </w:tc>
        <w:tc>
          <w:tcPr>
            <w:tcW w:w="3164"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kern w:val="0"/>
                <w:szCs w:val="21"/>
              </w:rPr>
              <w:t>和文祥、胡兆农、甄爱</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201607-</w:t>
            </w:r>
            <w:r>
              <w:rPr>
                <w:rStyle w:val="48"/>
                <w:rFonts w:hint="default" w:ascii="仿宋" w:hAnsi="仿宋" w:eastAsia="仿宋" w:cs="Times New Roman"/>
                <w:color w:val="auto"/>
                <w:sz w:val="21"/>
                <w:szCs w:val="21"/>
              </w:rPr>
              <w:t>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hint="eastAsia" w:ascii="仿宋" w:hAnsi="仿宋" w:eastAsia="仿宋" w:cs="Times New Roman"/>
                <w:szCs w:val="21"/>
              </w:rPr>
              <w:t>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14</w:t>
            </w:r>
          </w:p>
        </w:tc>
        <w:tc>
          <w:tcPr>
            <w:tcW w:w="3950"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kern w:val="0"/>
                <w:szCs w:val="21"/>
              </w:rPr>
              <w:t>樱桃高抗逆优良品种选育、集约化栽培及加工技术研究</w:t>
            </w:r>
          </w:p>
        </w:tc>
        <w:tc>
          <w:tcPr>
            <w:tcW w:w="2066" w:type="dxa"/>
            <w:vAlign w:val="center"/>
          </w:tcPr>
          <w:p>
            <w:pPr>
              <w:widowControl/>
              <w:spacing w:line="240" w:lineRule="exact"/>
              <w:jc w:val="left"/>
              <w:textAlignment w:val="center"/>
              <w:rPr>
                <w:rFonts w:ascii="仿宋" w:hAnsi="仿宋" w:eastAsia="仿宋" w:cs="Times New Roman"/>
                <w:szCs w:val="21"/>
              </w:rPr>
            </w:pPr>
            <w:r>
              <w:rPr>
                <w:rFonts w:hint="eastAsia" w:ascii="仿宋" w:hAnsi="仿宋" w:eastAsia="仿宋" w:cs="Times New Roman"/>
                <w:kern w:val="0"/>
                <w:szCs w:val="21"/>
              </w:rPr>
              <w:t>2016YFE0130900</w:t>
            </w:r>
          </w:p>
        </w:tc>
        <w:tc>
          <w:tcPr>
            <w:tcW w:w="851"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kern w:val="0"/>
                <w:szCs w:val="21"/>
              </w:rPr>
              <w:t>蔡宇良</w:t>
            </w:r>
          </w:p>
        </w:tc>
        <w:tc>
          <w:tcPr>
            <w:tcW w:w="3164"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kern w:val="0"/>
                <w:szCs w:val="21"/>
              </w:rPr>
              <w:t>李鑫、王晓东、孙玉刚、陈秋芳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201607-</w:t>
            </w:r>
            <w:r>
              <w:rPr>
                <w:rStyle w:val="48"/>
                <w:rFonts w:hint="default" w:ascii="仿宋" w:hAnsi="仿宋" w:eastAsia="仿宋" w:cs="Times New Roman"/>
                <w:color w:val="auto"/>
                <w:sz w:val="21"/>
                <w:szCs w:val="21"/>
              </w:rPr>
              <w:t>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hint="eastAsia" w:ascii="仿宋" w:hAnsi="仿宋" w:eastAsia="仿宋" w:cs="Times New Roman"/>
                <w:szCs w:val="21"/>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15</w:t>
            </w:r>
          </w:p>
        </w:tc>
        <w:tc>
          <w:tcPr>
            <w:tcW w:w="3950"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szCs w:val="21"/>
              </w:rPr>
              <w:t>秋白菜优质多抗适应性强新品种选育</w:t>
            </w:r>
          </w:p>
        </w:tc>
        <w:tc>
          <w:tcPr>
            <w:tcW w:w="2066" w:type="dxa"/>
            <w:vAlign w:val="center"/>
          </w:tcPr>
          <w:p>
            <w:pPr>
              <w:widowControl/>
              <w:spacing w:line="240" w:lineRule="exact"/>
              <w:ind w:left="-105" w:leftChars="-50" w:right="-105" w:rightChars="-50"/>
              <w:jc w:val="left"/>
              <w:textAlignment w:val="center"/>
              <w:rPr>
                <w:rFonts w:ascii="仿宋" w:hAnsi="仿宋" w:eastAsia="仿宋" w:cs="Times New Roman"/>
                <w:szCs w:val="21"/>
              </w:rPr>
            </w:pPr>
            <w:r>
              <w:rPr>
                <w:rFonts w:hint="eastAsia" w:ascii="仿宋" w:hAnsi="仿宋" w:eastAsia="仿宋" w:cs="Times New Roman"/>
                <w:szCs w:val="21"/>
              </w:rPr>
              <w:t>2017YFD0101802</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张鲁刚</w:t>
            </w:r>
          </w:p>
        </w:tc>
        <w:tc>
          <w:tcPr>
            <w:tcW w:w="3164"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szCs w:val="21"/>
              </w:rPr>
              <w:t>惠麦霞、张明科、聂珊珊</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hint="eastAsia" w:ascii="仿宋" w:hAnsi="仿宋" w:eastAsia="仿宋" w:cs="Times New Roman"/>
                <w:szCs w:val="21"/>
              </w:rPr>
              <w:t>201709-202012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hint="eastAsia" w:ascii="仿宋" w:hAnsi="仿宋" w:eastAsia="仿宋" w:cs="Times New Roman"/>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16</w:t>
            </w:r>
          </w:p>
        </w:tc>
        <w:tc>
          <w:tcPr>
            <w:tcW w:w="3950"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szCs w:val="21"/>
              </w:rPr>
              <w:t>甘蓝优质多抗适应性强新品种培育</w:t>
            </w:r>
          </w:p>
        </w:tc>
        <w:tc>
          <w:tcPr>
            <w:tcW w:w="2066" w:type="dxa"/>
            <w:vAlign w:val="center"/>
          </w:tcPr>
          <w:p>
            <w:pPr>
              <w:widowControl/>
              <w:spacing w:line="240" w:lineRule="exact"/>
              <w:ind w:left="-105" w:leftChars="-50" w:right="-105" w:rightChars="-50"/>
              <w:jc w:val="left"/>
              <w:textAlignment w:val="center"/>
              <w:rPr>
                <w:rFonts w:ascii="仿宋" w:hAnsi="仿宋" w:eastAsia="仿宋" w:cs="Times New Roman"/>
                <w:szCs w:val="21"/>
              </w:rPr>
            </w:pPr>
            <w:r>
              <w:rPr>
                <w:rFonts w:hint="eastAsia" w:ascii="仿宋" w:hAnsi="仿宋" w:eastAsia="仿宋" w:cs="Times New Roman"/>
                <w:szCs w:val="21"/>
              </w:rPr>
              <w:t>2017YFD0101804</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张恩慧</w:t>
            </w:r>
          </w:p>
        </w:tc>
        <w:tc>
          <w:tcPr>
            <w:tcW w:w="3164" w:type="dxa"/>
            <w:vAlign w:val="center"/>
          </w:tcPr>
          <w:p>
            <w:pPr>
              <w:widowControl/>
              <w:spacing w:line="240" w:lineRule="exact"/>
              <w:textAlignment w:val="center"/>
              <w:rPr>
                <w:rFonts w:ascii="仿宋" w:hAnsi="仿宋" w:eastAsia="仿宋" w:cs="Times New Roman"/>
                <w:szCs w:val="21"/>
              </w:rPr>
            </w:pPr>
            <w:r>
              <w:rPr>
                <w:rFonts w:hint="eastAsia" w:ascii="仿宋" w:hAnsi="仿宋" w:eastAsia="仿宋" w:cs="Times New Roman"/>
                <w:szCs w:val="21"/>
              </w:rPr>
              <w:t>许忠民、赵利民、马青山</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hint="eastAsia" w:ascii="仿宋" w:hAnsi="仿宋" w:eastAsia="仿宋" w:cs="Times New Roman"/>
                <w:szCs w:val="21"/>
              </w:rPr>
              <w:t>201709-202012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hint="eastAsia" w:ascii="仿宋" w:hAnsi="仿宋" w:eastAsia="仿宋" w:cs="Times New Roman"/>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17</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苹果MdWRI1转录因子介导糖信号在成花诱导中的功能及调控机制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31801813</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邢利博</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马娟娟，安娜，学生，李有梅，张晨光，齐思言，左西亚</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w:t>
            </w:r>
            <w:r>
              <w:rPr>
                <w:rFonts w:hint="eastAsia" w:ascii="仿宋" w:hAnsi="仿宋" w:eastAsia="仿宋" w:cs="Times New Roman"/>
                <w:kern w:val="0"/>
                <w:szCs w:val="21"/>
              </w:rPr>
              <w:t>-202112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18</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VvCOP1介导高温抑制葡萄果实中花色苷合成的分子机理</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31801833</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许腾飞</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马辉、刘瑞琪</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w:t>
            </w:r>
            <w:r>
              <w:rPr>
                <w:rFonts w:hint="eastAsia" w:ascii="仿宋" w:hAnsi="仿宋" w:eastAsia="仿宋" w:cs="Times New Roman"/>
                <w:kern w:val="0"/>
                <w:szCs w:val="21"/>
              </w:rPr>
              <w:t>-202112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19</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大白菜自交不亲和类钙调蛋白BrCML关键基因筛选与功能鉴定</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31801869</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聂姗姗</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张鲁刚，张宁，李茹，王若凡，马帅</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w:t>
            </w:r>
            <w:r>
              <w:rPr>
                <w:rFonts w:hint="eastAsia" w:ascii="仿宋" w:hAnsi="仿宋" w:eastAsia="仿宋" w:cs="Times New Roman"/>
                <w:kern w:val="0"/>
                <w:szCs w:val="21"/>
              </w:rPr>
              <w:t>-202112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20</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miR159/319调控嫁接西瓜低温抗性的信号传导分子机制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31801884</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李好</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魏春华、常静静、郭延亮、高文华</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w:t>
            </w:r>
            <w:r>
              <w:rPr>
                <w:rFonts w:hint="eastAsia" w:ascii="仿宋" w:hAnsi="仿宋" w:eastAsia="仿宋" w:cs="Times New Roman"/>
                <w:kern w:val="0"/>
                <w:szCs w:val="21"/>
              </w:rPr>
              <w:t>-202112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21</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MdFRK2和MdERD6.7转基因苹果中果糖含量稳态调控的生理与分子机制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31872043</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李明军</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刘翠华，马百泉</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hint="eastAsia" w:ascii="仿宋" w:hAnsi="仿宋" w:eastAsia="仿宋" w:cs="Times New Roman"/>
                <w:szCs w:val="21"/>
              </w:rPr>
              <w:t>201901-202212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22</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葡萄霜霉菌效应蛋白RxLR53与中国野生葡萄互作因子的鉴定和功能研究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31872054</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徐炎</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陈婷婷、向高青、尹晓</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201901-202212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23</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中国野生毛葡萄特有芪合成酶基因抗白粉病机理研究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31872055</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王跃进</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刘国甜、王丹、王岚</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201901-202212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24</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毛葡萄凝集素类受体激酶基因VqLecRK1抗白粉病功能及其调控机理</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31872071</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王西平</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李亚娟、贾慧、张国锋、王荣华、卢丽娟</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201901-202212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25</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苹果MdARF-MdHYL1-MdMYB88/MdMYB124-MdSNF2调控网络解析及抗寒功能鉴定</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31872080</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管清美</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徐记迪、张静、陈鹏翔、张德辉、申小霞、包查娜、闫明佳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201901-202212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26</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细胞壁关联的类受体激酶基因CaWAKL20介导ABA信号调控辣椒耐热性的分子机制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31872091</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逯明辉</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陈儒钢，汪虎，梁敏敏，刘海波，魏雪梅</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201901-202212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27</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乙烯响应因子ERFs介导的黄瓜性型基因调控研究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31872111</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李征</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左翎，詹欣</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szCs w:val="21"/>
              </w:rPr>
              <w:t>201901-202212</w:t>
            </w:r>
          </w:p>
        </w:tc>
        <w:tc>
          <w:tcPr>
            <w:tcW w:w="83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28</w:t>
            </w:r>
          </w:p>
        </w:tc>
        <w:tc>
          <w:tcPr>
            <w:tcW w:w="3950" w:type="dxa"/>
            <w:vAlign w:val="center"/>
          </w:tcPr>
          <w:p>
            <w:pPr>
              <w:widowControl/>
              <w:jc w:val="left"/>
              <w:textAlignment w:val="center"/>
              <w:rPr>
                <w:rFonts w:ascii="仿宋" w:hAnsi="仿宋" w:eastAsia="仿宋" w:cs="Times New Roman"/>
                <w:kern w:val="0"/>
                <w:szCs w:val="21"/>
              </w:rPr>
            </w:pPr>
            <w:r>
              <w:rPr>
                <w:rFonts w:ascii="Arial" w:hAnsi="Arial" w:eastAsia="宋体" w:cs="Arial"/>
                <w:color w:val="333333"/>
                <w:kern w:val="0"/>
                <w:sz w:val="18"/>
                <w:szCs w:val="18"/>
                <w:lang w:bidi="ar"/>
              </w:rPr>
              <w:t>苹果MdTFL1通过MdGAMYB1应答GA信号调控花芽孕育的分子机制</w:t>
            </w:r>
          </w:p>
        </w:tc>
        <w:tc>
          <w:tcPr>
            <w:tcW w:w="2066" w:type="dxa"/>
            <w:vAlign w:val="center"/>
          </w:tcPr>
          <w:p>
            <w:pPr>
              <w:widowControl/>
              <w:jc w:val="left"/>
              <w:textAlignment w:val="center"/>
              <w:rPr>
                <w:rFonts w:ascii="仿宋" w:hAnsi="仿宋" w:eastAsia="仿宋" w:cs="Times New Roman"/>
                <w:kern w:val="0"/>
                <w:szCs w:val="21"/>
              </w:rPr>
            </w:pPr>
            <w:r>
              <w:rPr>
                <w:rFonts w:ascii="Arial" w:hAnsi="Arial" w:eastAsia="宋体" w:cs="Arial"/>
                <w:color w:val="333333"/>
                <w:kern w:val="0"/>
                <w:sz w:val="18"/>
                <w:szCs w:val="18"/>
                <w:lang w:bidi="ar"/>
              </w:rPr>
              <w:t>31872937</w:t>
            </w:r>
          </w:p>
        </w:tc>
        <w:tc>
          <w:tcPr>
            <w:tcW w:w="851" w:type="dxa"/>
            <w:vAlign w:val="center"/>
          </w:tcPr>
          <w:p>
            <w:pPr>
              <w:widowControl/>
              <w:jc w:val="left"/>
              <w:textAlignment w:val="center"/>
              <w:rPr>
                <w:rFonts w:ascii="仿宋" w:hAnsi="仿宋" w:eastAsia="仿宋" w:cs="Times New Roman"/>
                <w:kern w:val="0"/>
                <w:szCs w:val="21"/>
              </w:rPr>
            </w:pPr>
            <w:r>
              <w:rPr>
                <w:rFonts w:hint="eastAsia" w:ascii="宋体" w:hAnsi="宋体" w:eastAsia="宋体" w:cs="宋体"/>
                <w:color w:val="333333"/>
                <w:kern w:val="0"/>
                <w:sz w:val="18"/>
                <w:szCs w:val="18"/>
                <w:lang w:bidi="ar"/>
              </w:rPr>
              <w:t>韩明玉（张东）</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马娟娟、张东、刑利博、李有梅、樊胜</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hint="eastAsia" w:ascii="仿宋" w:hAnsi="仿宋" w:eastAsia="仿宋" w:cs="Times New Roman"/>
                <w:szCs w:val="21"/>
              </w:rPr>
              <w:t>201901-202212</w:t>
            </w:r>
          </w:p>
        </w:tc>
        <w:tc>
          <w:tcPr>
            <w:tcW w:w="830" w:type="dxa"/>
            <w:vAlign w:val="center"/>
          </w:tcPr>
          <w:p>
            <w:pPr>
              <w:widowControl/>
              <w:jc w:val="center"/>
              <w:textAlignment w:val="center"/>
              <w:rPr>
                <w:rFonts w:ascii="仿宋" w:hAnsi="仿宋" w:eastAsia="仿宋" w:cs="Times New Roman"/>
                <w:szCs w:val="21"/>
              </w:rPr>
            </w:pPr>
            <w:r>
              <w:rPr>
                <w:rFonts w:ascii="Arial" w:hAnsi="Arial" w:eastAsia="宋体" w:cs="Arial"/>
                <w:color w:val="333333"/>
                <w:kern w:val="0"/>
                <w:sz w:val="18"/>
                <w:szCs w:val="18"/>
                <w:lang w:bidi="ar"/>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29</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茶树镁离子螯合酶基因在叶绿素合成中的功能及分子机制研究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31700612</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高岳芳</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彭湃、余有本、肖斌、周天山</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30</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晚疫病菌寄主细胞核定位效应蛋白PITG_20303的毒性作用机理</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31701770</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杜羽</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孟玉玲、黄桂艳、郭亚路、孙建田</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多巴胺提高苹果抗旱性的作用机制研究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31701867</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李超</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徐记迪、黄冬、高腾腾、赵琪</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32</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Ma1纯合型‘秦冠’苹果低酸性状的遗传分析及基因标签开发</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31701875</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马百全</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杨成泉、王正阳、崔维芳、赵海艳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33</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中国甜柿自然脱涩基因DkPK调控因子鉴定及其功能解析</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31701877</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关长飞</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吕燕荣、何宜恒、胡超琼、禹庆峰</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34</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bHLH转录因子MdbHLH4调控苹果抗旱性的功能鉴定及分子机理研究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31701894</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毛柯</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龚晓庆、刘长海、李超</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35</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RNA结合蛋白MdYTP2在苹果抗褐斑病应答中的功能和作用机制解析</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31701897</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刘长海</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梁微、胡玲玉、郭甜丽、王红英</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36</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中国南瓜矮生基因Bu的精细定位与候选基因分析</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31701914</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王深浩</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田佳星、杨中敏、蔡光华、刘丹</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37</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转录因子SlIAA9影响番茄AsA积累的调控机制研究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31701925</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胡体旭</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汪淑芬、王琪琦、王玉钦、党宁宁</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38</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西瓜果皮条纹基因的精细定位与克隆</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31701939</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魏春华</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杨小振、李好、马建祥、张勇</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39</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葡萄风信子蓝色花青素呈色中酰化修饰基因的功能研究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31701962</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娄倩</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刘雅丽</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40</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基于葡萄白粉菌关键效应因子鉴定野生华东葡萄抗白粉病基因</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31772264</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文颖强</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丁勤</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01-202112</w:t>
            </w:r>
          </w:p>
        </w:tc>
        <w:tc>
          <w:tcPr>
            <w:tcW w:w="830"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41</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硅促进盐胁迫下番茄根系水分吸收的信号调控研究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31772290</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宫海军</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郭佳、徐宣斌、胡彦宏、缑天韵</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01-202112</w:t>
            </w:r>
          </w:p>
        </w:tc>
        <w:tc>
          <w:tcPr>
            <w:tcW w:w="830"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42</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青蒜挥发物调控黄瓜霜霉病抗性的化感作用机理</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31772293</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程智慧</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杜慧芳、高京草</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01-202112</w:t>
            </w:r>
          </w:p>
        </w:tc>
        <w:tc>
          <w:tcPr>
            <w:tcW w:w="830"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43</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黄瓜叶微卷、白粉病抗性突变体PMrl基因的克隆及其抗性机理研究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31772300</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李玉红</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张颜、魏春华、戎福喜</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01-202112</w:t>
            </w:r>
          </w:p>
        </w:tc>
        <w:tc>
          <w:tcPr>
            <w:tcW w:w="830"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44</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辣椒黄色成熟果色新型突变体YRF基因的克隆及其调控机理的研究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31772309</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巩振辉</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李大伟、王深浩、胡体旭</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01-202112</w:t>
            </w:r>
          </w:p>
        </w:tc>
        <w:tc>
          <w:tcPr>
            <w:tcW w:w="830"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45</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黄瓜CC型谷氧还蛋白CsGRX1负调控灰霉病抗性反应的分子机制</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31772335</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陈书霞</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李好、郭佳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01-202112</w:t>
            </w:r>
          </w:p>
        </w:tc>
        <w:tc>
          <w:tcPr>
            <w:tcW w:w="830"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46</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SlWRKY33参与外源Spd调控番茄抗盐碱性的功能解析</w:t>
            </w:r>
          </w:p>
        </w:tc>
        <w:tc>
          <w:tcPr>
            <w:tcW w:w="2066"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31772359</w:t>
            </w:r>
          </w:p>
        </w:tc>
        <w:tc>
          <w:tcPr>
            <w:tcW w:w="851"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胡晓辉</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甄爱、李小靖</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2018</w:t>
            </w:r>
            <w:r>
              <w:rPr>
                <w:rFonts w:hint="eastAsia" w:ascii="仿宋" w:hAnsi="仿宋" w:eastAsia="仿宋" w:cs="Times New Roman"/>
                <w:kern w:val="0"/>
                <w:szCs w:val="21"/>
              </w:rPr>
              <w:t>01-202112</w:t>
            </w:r>
          </w:p>
        </w:tc>
        <w:tc>
          <w:tcPr>
            <w:tcW w:w="830"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47</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苹果自噬基因</w:t>
            </w:r>
            <w:r>
              <w:rPr>
                <w:rStyle w:val="51"/>
                <w:rFonts w:ascii="仿宋" w:hAnsi="仿宋" w:eastAsia="仿宋" w:cs="Times New Roman"/>
                <w:color w:val="auto"/>
                <w:sz w:val="21"/>
                <w:szCs w:val="21"/>
              </w:rPr>
              <w:t>MdATG8i</w:t>
            </w:r>
            <w:r>
              <w:rPr>
                <w:rStyle w:val="52"/>
                <w:rFonts w:hint="default" w:ascii="仿宋" w:hAnsi="仿宋" w:eastAsia="仿宋" w:cs="Times New Roman"/>
                <w:color w:val="auto"/>
                <w:sz w:val="21"/>
                <w:szCs w:val="21"/>
              </w:rPr>
              <w:t>在缺氮胁迫中的生物学功能和互作蛋白分析</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31601735</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王平</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王南南，杨成泉，孙逊，贾欣，霍柳青</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w:t>
            </w:r>
            <w:r>
              <w:rPr>
                <w:rStyle w:val="51"/>
                <w:rFonts w:ascii="仿宋" w:hAnsi="仿宋" w:eastAsia="仿宋" w:cs="Times New Roman"/>
                <w:color w:val="auto"/>
                <w:sz w:val="21"/>
                <w:szCs w:val="21"/>
              </w:rPr>
              <w:t>2019</w:t>
            </w:r>
            <w:r>
              <w:rPr>
                <w:rStyle w:val="52"/>
                <w:rFonts w:hint="default" w:ascii="仿宋" w:hAnsi="仿宋" w:eastAsia="仿宋" w:cs="Times New Roman"/>
                <w:color w:val="auto"/>
                <w:sz w:val="21"/>
                <w:szCs w:val="21"/>
              </w:rPr>
              <w:t>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48</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猕猴桃重碳酸盐诱发缺铁情况下根系铁吸收与转运的机制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31601710</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王南南</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姚春潮、王倩、刘艳飞、于凌燕、原玉林、同晓蕾</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w:t>
            </w:r>
            <w:r>
              <w:rPr>
                <w:rStyle w:val="51"/>
                <w:rFonts w:ascii="仿宋" w:hAnsi="仿宋" w:eastAsia="仿宋" w:cs="Times New Roman"/>
                <w:color w:val="auto"/>
                <w:sz w:val="21"/>
                <w:szCs w:val="21"/>
              </w:rPr>
              <w:t>2019</w:t>
            </w:r>
            <w:r>
              <w:rPr>
                <w:rStyle w:val="52"/>
                <w:rFonts w:hint="default" w:ascii="仿宋" w:hAnsi="仿宋" w:eastAsia="仿宋" w:cs="Times New Roman"/>
                <w:color w:val="auto"/>
                <w:sz w:val="21"/>
                <w:szCs w:val="21"/>
              </w:rPr>
              <w:t>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49</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I</w:t>
            </w:r>
            <w:r>
              <w:rPr>
                <w:rStyle w:val="52"/>
                <w:rFonts w:hint="default" w:ascii="仿宋" w:hAnsi="仿宋" w:eastAsia="仿宋" w:cs="Times New Roman"/>
                <w:color w:val="auto"/>
                <w:sz w:val="21"/>
                <w:szCs w:val="21"/>
              </w:rPr>
              <w:t>型红肉苹果</w:t>
            </w:r>
            <w:r>
              <w:rPr>
                <w:rStyle w:val="51"/>
                <w:rFonts w:ascii="仿宋" w:hAnsi="仿宋" w:eastAsia="仿宋" w:cs="Times New Roman"/>
                <w:color w:val="auto"/>
                <w:sz w:val="21"/>
                <w:szCs w:val="21"/>
              </w:rPr>
              <w:t>“R6</w:t>
            </w:r>
            <w:r>
              <w:rPr>
                <w:rStyle w:val="52"/>
                <w:rFonts w:hint="default" w:ascii="仿宋" w:hAnsi="仿宋" w:eastAsia="仿宋" w:cs="Times New Roman"/>
                <w:color w:val="auto"/>
                <w:sz w:val="21"/>
                <w:szCs w:val="21"/>
              </w:rPr>
              <w:t>型白肉</w:t>
            </w:r>
            <w:r>
              <w:rPr>
                <w:rStyle w:val="51"/>
                <w:rFonts w:ascii="仿宋" w:hAnsi="仿宋" w:eastAsia="仿宋" w:cs="Times New Roman"/>
                <w:color w:val="auto"/>
                <w:sz w:val="21"/>
                <w:szCs w:val="21"/>
              </w:rPr>
              <w:t>”</w:t>
            </w:r>
            <w:r>
              <w:rPr>
                <w:rStyle w:val="52"/>
                <w:rFonts w:hint="default" w:ascii="仿宋" w:hAnsi="仿宋" w:eastAsia="仿宋" w:cs="Times New Roman"/>
                <w:color w:val="auto"/>
                <w:sz w:val="21"/>
                <w:szCs w:val="21"/>
              </w:rPr>
              <w:t>变异性状的相关基因挖掘</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31601715</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杨成泉</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王志刚、翟锐、张孟夏、王娱乐</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w:t>
            </w:r>
            <w:r>
              <w:rPr>
                <w:rStyle w:val="51"/>
                <w:rFonts w:ascii="仿宋" w:hAnsi="仿宋" w:eastAsia="仿宋" w:cs="Times New Roman"/>
                <w:color w:val="auto"/>
                <w:sz w:val="21"/>
                <w:szCs w:val="21"/>
              </w:rPr>
              <w:t>2019</w:t>
            </w:r>
            <w:r>
              <w:rPr>
                <w:rStyle w:val="52"/>
                <w:rFonts w:hint="default" w:ascii="仿宋" w:hAnsi="仿宋" w:eastAsia="仿宋" w:cs="Times New Roman"/>
                <w:color w:val="auto"/>
                <w:sz w:val="21"/>
                <w:szCs w:val="21"/>
              </w:rPr>
              <w:t>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50</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基于葡萄霜霉菌效应因子</w:t>
            </w:r>
            <w:r>
              <w:rPr>
                <w:rStyle w:val="51"/>
                <w:rFonts w:ascii="仿宋" w:hAnsi="仿宋" w:eastAsia="仿宋" w:cs="Times New Roman"/>
                <w:color w:val="auto"/>
                <w:sz w:val="21"/>
                <w:szCs w:val="21"/>
              </w:rPr>
              <w:t>RxLR31197</w:t>
            </w:r>
            <w:r>
              <w:rPr>
                <w:rStyle w:val="52"/>
                <w:rFonts w:hint="default" w:ascii="仿宋" w:hAnsi="仿宋" w:eastAsia="仿宋" w:cs="Times New Roman"/>
                <w:color w:val="auto"/>
                <w:sz w:val="21"/>
                <w:szCs w:val="21"/>
              </w:rPr>
              <w:t>鉴定中国野生葡萄抗病相关基因的研究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31601716</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刘国甜</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李志谦、陈婷婷、向高青、王方方、郭雨瑞</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w:t>
            </w:r>
            <w:r>
              <w:rPr>
                <w:rStyle w:val="51"/>
                <w:rFonts w:ascii="仿宋" w:hAnsi="仿宋" w:eastAsia="仿宋" w:cs="Times New Roman"/>
                <w:color w:val="auto"/>
                <w:sz w:val="21"/>
                <w:szCs w:val="21"/>
              </w:rPr>
              <w:t>2019</w:t>
            </w:r>
            <w:r>
              <w:rPr>
                <w:rStyle w:val="52"/>
                <w:rFonts w:hint="default" w:ascii="仿宋" w:hAnsi="仿宋" w:eastAsia="仿宋" w:cs="Times New Roman"/>
                <w:color w:val="auto"/>
                <w:sz w:val="21"/>
                <w:szCs w:val="21"/>
              </w:rPr>
              <w:t>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51</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组蛋白去乙酰化酶</w:t>
            </w:r>
            <w:r>
              <w:rPr>
                <w:rStyle w:val="51"/>
                <w:rFonts w:ascii="仿宋" w:hAnsi="仿宋" w:eastAsia="仿宋" w:cs="Times New Roman"/>
                <w:color w:val="auto"/>
                <w:sz w:val="21"/>
                <w:szCs w:val="21"/>
              </w:rPr>
              <w:t>MdHDA6</w:t>
            </w:r>
            <w:r>
              <w:rPr>
                <w:rStyle w:val="52"/>
                <w:rFonts w:hint="default" w:ascii="仿宋" w:hAnsi="仿宋" w:eastAsia="仿宋" w:cs="Times New Roman"/>
                <w:color w:val="auto"/>
                <w:sz w:val="21"/>
                <w:szCs w:val="21"/>
              </w:rPr>
              <w:t>在苹果干旱胁迫中的功能及调控作用研究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31601717</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徐记迪</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王南南、谢银鹏、陈鹏翔、李海燕、申小霞</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w:t>
            </w:r>
            <w:r>
              <w:rPr>
                <w:rStyle w:val="51"/>
                <w:rFonts w:ascii="仿宋" w:hAnsi="仿宋" w:eastAsia="仿宋" w:cs="Times New Roman"/>
                <w:color w:val="auto"/>
                <w:sz w:val="21"/>
                <w:szCs w:val="21"/>
              </w:rPr>
              <w:t>2019</w:t>
            </w:r>
            <w:r>
              <w:rPr>
                <w:rStyle w:val="52"/>
                <w:rFonts w:hint="default" w:ascii="仿宋" w:hAnsi="仿宋" w:eastAsia="仿宋" w:cs="Times New Roman"/>
                <w:color w:val="auto"/>
                <w:sz w:val="21"/>
                <w:szCs w:val="21"/>
              </w:rPr>
              <w:t>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52</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苹果属野生资源遗传多态性及其褐斑病抗性的关联分析</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31601719</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梁微</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张春霞、邵云、董军、文田</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w:t>
            </w:r>
            <w:r>
              <w:rPr>
                <w:rStyle w:val="51"/>
                <w:rFonts w:ascii="仿宋" w:hAnsi="仿宋" w:eastAsia="仿宋" w:cs="Times New Roman"/>
                <w:color w:val="auto"/>
                <w:sz w:val="21"/>
                <w:szCs w:val="21"/>
              </w:rPr>
              <w:t>2019</w:t>
            </w:r>
            <w:r>
              <w:rPr>
                <w:rStyle w:val="52"/>
                <w:rFonts w:hint="default" w:ascii="仿宋" w:hAnsi="仿宋" w:eastAsia="仿宋" w:cs="Times New Roman"/>
                <w:color w:val="auto"/>
                <w:sz w:val="21"/>
                <w:szCs w:val="21"/>
              </w:rPr>
              <w:t>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53</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类泛素蛋白</w:t>
            </w:r>
            <w:r>
              <w:rPr>
                <w:rStyle w:val="51"/>
                <w:rFonts w:ascii="仿宋" w:hAnsi="仿宋" w:eastAsia="仿宋" w:cs="Times New Roman"/>
                <w:color w:val="auto"/>
                <w:sz w:val="21"/>
                <w:szCs w:val="21"/>
              </w:rPr>
              <w:t>MdRAD23D1</w:t>
            </w:r>
            <w:r>
              <w:rPr>
                <w:rStyle w:val="52"/>
                <w:rFonts w:hint="default" w:ascii="仿宋" w:hAnsi="仿宋" w:eastAsia="仿宋" w:cs="Times New Roman"/>
                <w:color w:val="auto"/>
                <w:sz w:val="21"/>
                <w:szCs w:val="21"/>
              </w:rPr>
              <w:t>参与苹果响应干旱胁迫的机制研究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31601737</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龚小庆</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刘晶莹、刘昊</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w:t>
            </w:r>
            <w:r>
              <w:rPr>
                <w:rStyle w:val="51"/>
                <w:rFonts w:ascii="仿宋" w:hAnsi="仿宋" w:eastAsia="仿宋" w:cs="Times New Roman"/>
                <w:color w:val="auto"/>
                <w:sz w:val="21"/>
                <w:szCs w:val="21"/>
              </w:rPr>
              <w:t>2019</w:t>
            </w:r>
            <w:r>
              <w:rPr>
                <w:rStyle w:val="52"/>
                <w:rFonts w:hint="default" w:ascii="仿宋" w:hAnsi="仿宋" w:eastAsia="仿宋" w:cs="Times New Roman"/>
                <w:color w:val="auto"/>
                <w:sz w:val="21"/>
                <w:szCs w:val="21"/>
              </w:rPr>
              <w:t>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54</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赤霉素信号转导因子</w:t>
            </w:r>
            <w:r>
              <w:rPr>
                <w:rStyle w:val="51"/>
                <w:rFonts w:ascii="仿宋" w:hAnsi="仿宋" w:eastAsia="仿宋" w:cs="Times New Roman"/>
                <w:color w:val="auto"/>
                <w:sz w:val="21"/>
                <w:szCs w:val="21"/>
              </w:rPr>
              <w:t>CsGAIP</w:t>
            </w:r>
            <w:r>
              <w:rPr>
                <w:rStyle w:val="52"/>
                <w:rFonts w:hint="default" w:ascii="仿宋" w:hAnsi="仿宋" w:eastAsia="仿宋" w:cs="Times New Roman"/>
                <w:color w:val="auto"/>
                <w:sz w:val="21"/>
                <w:szCs w:val="21"/>
              </w:rPr>
              <w:t>在黄瓜雄花发育中的功能分析与调控机制研究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31601770</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张颜</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李好、秦蕾、刘婧仪、赵贵叶、默宁</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w:t>
            </w:r>
            <w:r>
              <w:rPr>
                <w:rStyle w:val="51"/>
                <w:rFonts w:ascii="仿宋" w:hAnsi="仿宋" w:eastAsia="仿宋" w:cs="Times New Roman"/>
                <w:color w:val="auto"/>
                <w:sz w:val="21"/>
                <w:szCs w:val="21"/>
              </w:rPr>
              <w:t>2019</w:t>
            </w:r>
            <w:r>
              <w:rPr>
                <w:rStyle w:val="52"/>
                <w:rFonts w:hint="default" w:ascii="仿宋" w:hAnsi="仿宋" w:eastAsia="仿宋" w:cs="Times New Roman"/>
                <w:color w:val="auto"/>
                <w:sz w:val="21"/>
                <w:szCs w:val="21"/>
              </w:rPr>
              <w:t>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55</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苹果逆境分子生物学</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31622049</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管清美</w:t>
            </w:r>
          </w:p>
        </w:tc>
        <w:tc>
          <w:tcPr>
            <w:tcW w:w="3164" w:type="dxa"/>
            <w:vAlign w:val="center"/>
          </w:tcPr>
          <w:p>
            <w:pPr>
              <w:spacing w:line="240" w:lineRule="exact"/>
              <w:rPr>
                <w:rFonts w:ascii="仿宋" w:hAnsi="仿宋" w:eastAsia="仿宋" w:cs="Times New Roman"/>
                <w:szCs w:val="21"/>
              </w:rPr>
            </w:pPr>
            <w:r>
              <w:rPr>
                <w:rFonts w:hint="eastAsia" w:ascii="仿宋" w:hAnsi="仿宋" w:eastAsia="仿宋" w:cs="Times New Roman"/>
                <w:szCs w:val="21"/>
              </w:rPr>
              <w:t>徐记迪、张静、陈鹏翔、张德辉、申小霞、包查娜、闫明佳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w:t>
            </w:r>
            <w:r>
              <w:rPr>
                <w:rStyle w:val="51"/>
                <w:rFonts w:ascii="仿宋" w:hAnsi="仿宋" w:eastAsia="仿宋" w:cs="Times New Roman"/>
                <w:color w:val="auto"/>
                <w:sz w:val="21"/>
                <w:szCs w:val="21"/>
              </w:rPr>
              <w:t>2019</w:t>
            </w:r>
            <w:r>
              <w:rPr>
                <w:rStyle w:val="52"/>
                <w:rFonts w:hint="default" w:ascii="仿宋" w:hAnsi="仿宋" w:eastAsia="仿宋" w:cs="Times New Roman"/>
                <w:color w:val="auto"/>
                <w:sz w:val="21"/>
                <w:szCs w:val="21"/>
              </w:rPr>
              <w:t>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130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56</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剪接因子</w:t>
            </w:r>
            <w:r>
              <w:rPr>
                <w:rStyle w:val="51"/>
                <w:rFonts w:ascii="仿宋" w:hAnsi="仿宋" w:eastAsia="仿宋" w:cs="Times New Roman"/>
                <w:color w:val="auto"/>
                <w:sz w:val="21"/>
                <w:szCs w:val="21"/>
              </w:rPr>
              <w:t>ROA1</w:t>
            </w:r>
            <w:r>
              <w:rPr>
                <w:rStyle w:val="52"/>
                <w:rFonts w:hint="default" w:ascii="仿宋" w:hAnsi="仿宋" w:eastAsia="仿宋" w:cs="Times New Roman"/>
                <w:color w:val="auto"/>
                <w:sz w:val="21"/>
                <w:szCs w:val="21"/>
              </w:rPr>
              <w:t>调控植物低温胁迫应答的机制分析</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31671273</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战祥强</w:t>
            </w:r>
          </w:p>
        </w:tc>
        <w:tc>
          <w:tcPr>
            <w:tcW w:w="3164" w:type="dxa"/>
            <w:vAlign w:val="center"/>
          </w:tcPr>
          <w:p>
            <w:pPr>
              <w:widowControl/>
              <w:spacing w:after="200" w:line="240" w:lineRule="exact"/>
              <w:textAlignment w:val="center"/>
              <w:rPr>
                <w:rFonts w:ascii="仿宋" w:hAnsi="仿宋" w:eastAsia="仿宋" w:cs="Times New Roman"/>
                <w:szCs w:val="21"/>
              </w:rPr>
            </w:pPr>
            <w:r>
              <w:rPr>
                <w:rFonts w:ascii="仿宋" w:hAnsi="仿宋" w:eastAsia="仿宋" w:cs="Times New Roman"/>
                <w:kern w:val="0"/>
                <w:szCs w:val="21"/>
              </w:rPr>
              <w:t>胡体旭、王琪琦、耿达立、姜丽娟</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57</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苹果</w:t>
            </w:r>
            <w:r>
              <w:rPr>
                <w:rStyle w:val="53"/>
                <w:rFonts w:ascii="仿宋" w:hAnsi="仿宋" w:eastAsia="仿宋" w:cs="Times New Roman"/>
                <w:color w:val="auto"/>
                <w:sz w:val="21"/>
                <w:szCs w:val="21"/>
              </w:rPr>
              <w:t>B</w:t>
            </w:r>
            <w:r>
              <w:rPr>
                <w:rFonts w:ascii="仿宋" w:hAnsi="仿宋" w:eastAsia="仿宋" w:cs="Times New Roman"/>
                <w:kern w:val="0"/>
                <w:szCs w:val="21"/>
              </w:rPr>
              <w:t>型</w:t>
            </w:r>
            <w:r>
              <w:rPr>
                <w:rStyle w:val="53"/>
                <w:rFonts w:ascii="仿宋" w:hAnsi="仿宋" w:eastAsia="仿宋" w:cs="Times New Roman"/>
                <w:color w:val="auto"/>
                <w:sz w:val="21"/>
                <w:szCs w:val="21"/>
              </w:rPr>
              <w:t>MdRR1</w:t>
            </w:r>
            <w:r>
              <w:rPr>
                <w:rFonts w:ascii="仿宋" w:hAnsi="仿宋" w:eastAsia="仿宋" w:cs="Times New Roman"/>
                <w:kern w:val="0"/>
                <w:szCs w:val="21"/>
              </w:rPr>
              <w:t>响应细胞分裂素信号应答促进花芽孕育的分子机制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31672101</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韩明玉</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马娟娟、张东、刑利博、李有梅、樊胜</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58</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葡萄霜霉菌</w:t>
            </w:r>
            <w:r>
              <w:rPr>
                <w:rStyle w:val="51"/>
                <w:rFonts w:ascii="仿宋" w:hAnsi="仿宋" w:eastAsia="仿宋" w:cs="Times New Roman"/>
                <w:color w:val="auto"/>
                <w:sz w:val="21"/>
                <w:szCs w:val="21"/>
              </w:rPr>
              <w:t>RxLR31154</w:t>
            </w:r>
            <w:r>
              <w:rPr>
                <w:rStyle w:val="52"/>
                <w:rFonts w:hint="default" w:ascii="仿宋" w:hAnsi="仿宋" w:eastAsia="仿宋" w:cs="Times New Roman"/>
                <w:color w:val="auto"/>
                <w:sz w:val="21"/>
                <w:szCs w:val="21"/>
              </w:rPr>
              <w:t>效应因子与中国野生葡萄</w:t>
            </w:r>
            <w:r>
              <w:rPr>
                <w:rStyle w:val="51"/>
                <w:rFonts w:ascii="仿宋" w:hAnsi="仿宋" w:eastAsia="仿宋" w:cs="Times New Roman"/>
                <w:color w:val="auto"/>
                <w:sz w:val="21"/>
                <w:szCs w:val="21"/>
              </w:rPr>
              <w:t>OEE2</w:t>
            </w:r>
            <w:r>
              <w:rPr>
                <w:rStyle w:val="52"/>
                <w:rFonts w:hint="default" w:ascii="仿宋" w:hAnsi="仿宋" w:eastAsia="仿宋" w:cs="Times New Roman"/>
                <w:color w:val="auto"/>
                <w:sz w:val="21"/>
                <w:szCs w:val="21"/>
              </w:rPr>
              <w:t>蛋白互作生物学功能研究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31672115</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徐炎</w:t>
            </w:r>
          </w:p>
        </w:tc>
        <w:tc>
          <w:tcPr>
            <w:tcW w:w="3164" w:type="dxa"/>
            <w:vAlign w:val="center"/>
          </w:tcPr>
          <w:p>
            <w:pPr>
              <w:spacing w:line="240" w:lineRule="exact"/>
              <w:rPr>
                <w:rFonts w:ascii="仿宋" w:hAnsi="仿宋" w:eastAsia="仿宋" w:cs="Times New Roman"/>
                <w:szCs w:val="21"/>
              </w:rPr>
            </w:pPr>
            <w:r>
              <w:rPr>
                <w:rFonts w:hint="eastAsia" w:ascii="仿宋" w:hAnsi="仿宋" w:eastAsia="仿宋" w:cs="Times New Roman"/>
                <w:szCs w:val="21"/>
              </w:rPr>
              <w:t>刘瑞琪、刘月娥、李铁梅</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59</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苹果</w:t>
            </w:r>
            <w:r>
              <w:rPr>
                <w:rStyle w:val="51"/>
                <w:rFonts w:ascii="仿宋" w:hAnsi="仿宋" w:eastAsia="仿宋" w:cs="Times New Roman"/>
                <w:color w:val="auto"/>
                <w:sz w:val="21"/>
                <w:szCs w:val="21"/>
              </w:rPr>
              <w:t>MdAMR1/2</w:t>
            </w:r>
            <w:r>
              <w:rPr>
                <w:rStyle w:val="52"/>
                <w:rFonts w:hint="default" w:ascii="仿宋" w:hAnsi="仿宋" w:eastAsia="仿宋" w:cs="Times New Roman"/>
                <w:color w:val="auto"/>
                <w:sz w:val="21"/>
                <w:szCs w:val="21"/>
              </w:rPr>
              <w:t>在</w:t>
            </w:r>
            <w:r>
              <w:rPr>
                <w:rStyle w:val="51"/>
                <w:rFonts w:ascii="仿宋" w:hAnsi="仿宋" w:eastAsia="仿宋" w:cs="Times New Roman"/>
                <w:color w:val="auto"/>
                <w:sz w:val="21"/>
                <w:szCs w:val="21"/>
              </w:rPr>
              <w:t>Vc</w:t>
            </w:r>
            <w:r>
              <w:rPr>
                <w:rStyle w:val="52"/>
                <w:rFonts w:hint="default" w:ascii="仿宋" w:hAnsi="仿宋" w:eastAsia="仿宋" w:cs="Times New Roman"/>
                <w:color w:val="auto"/>
                <w:sz w:val="21"/>
                <w:szCs w:val="21"/>
              </w:rPr>
              <w:t>合成中的调控功能及其分子机理研究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31672128</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李明军</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刘翠花、张静、李慧霞、杨静静、王正阳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2017</w:t>
            </w:r>
            <w:r>
              <w:rPr>
                <w:rStyle w:val="52"/>
                <w:rFonts w:hint="default" w:ascii="仿宋" w:hAnsi="仿宋" w:eastAsia="仿宋" w:cs="Times New Roman"/>
                <w:color w:val="auto"/>
                <w:sz w:val="21"/>
                <w:szCs w:val="21"/>
              </w:rPr>
              <w:t>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05" w:hRule="atLeas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60</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中国野生葡萄芪合成酶基因表达调控与功能研究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31672129</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王跃进</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马福利、王岚、王磊、谢晓青、姜长岳、鲍睿、童威霍、张洋洋、史文静</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201701-202012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61</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番茄</w:t>
            </w:r>
            <w:r>
              <w:rPr>
                <w:rStyle w:val="51"/>
                <w:rFonts w:ascii="仿宋" w:hAnsi="仿宋" w:eastAsia="仿宋" w:cs="Times New Roman"/>
                <w:color w:val="auto"/>
                <w:sz w:val="21"/>
                <w:szCs w:val="21"/>
              </w:rPr>
              <w:t>SlBRI1</w:t>
            </w:r>
            <w:r>
              <w:rPr>
                <w:rStyle w:val="52"/>
                <w:rFonts w:hint="default" w:ascii="仿宋" w:hAnsi="仿宋" w:eastAsia="仿宋" w:cs="Times New Roman"/>
                <w:color w:val="auto"/>
                <w:sz w:val="21"/>
                <w:szCs w:val="21"/>
              </w:rPr>
              <w:t>磷酸化位点的农艺学价值及调控机理的研究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31672142</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王晓峰</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徐伟荣、周起、代玲敏、李瑞民、焦韵桐、王欢、王丹、和静</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201701-202012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62</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辣椒脱水素基因</w:t>
            </w:r>
            <w:r>
              <w:rPr>
                <w:rStyle w:val="51"/>
                <w:rFonts w:ascii="仿宋" w:hAnsi="仿宋" w:eastAsia="仿宋" w:cs="Times New Roman"/>
                <w:color w:val="auto"/>
                <w:sz w:val="21"/>
                <w:szCs w:val="21"/>
              </w:rPr>
              <w:t>CaDHN</w:t>
            </w:r>
            <w:r>
              <w:rPr>
                <w:rStyle w:val="52"/>
                <w:rFonts w:hint="default" w:ascii="仿宋" w:hAnsi="仿宋" w:eastAsia="仿宋" w:cs="Times New Roman"/>
                <w:color w:val="auto"/>
                <w:sz w:val="21"/>
                <w:szCs w:val="21"/>
              </w:rPr>
              <w:t>在低温胁迫下的功能与调控机理研究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31672146</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陈儒钢</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张朝红、张剑侠、徐炎</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201701-202012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63</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全雌性黄瓜</w:t>
            </w:r>
            <w:r>
              <w:rPr>
                <w:rStyle w:val="51"/>
                <w:rFonts w:ascii="仿宋" w:hAnsi="仿宋" w:eastAsia="仿宋" w:cs="Times New Roman"/>
                <w:color w:val="auto"/>
                <w:sz w:val="21"/>
                <w:szCs w:val="21"/>
              </w:rPr>
              <w:t>“</w:t>
            </w:r>
            <w:r>
              <w:rPr>
                <w:rStyle w:val="52"/>
                <w:rFonts w:hint="default" w:ascii="仿宋" w:hAnsi="仿宋" w:eastAsia="仿宋" w:cs="Times New Roman"/>
                <w:color w:val="auto"/>
                <w:sz w:val="21"/>
                <w:szCs w:val="21"/>
              </w:rPr>
              <w:t>雌性丢失</w:t>
            </w:r>
            <w:r>
              <w:rPr>
                <w:rStyle w:val="51"/>
                <w:rFonts w:ascii="仿宋" w:hAnsi="仿宋" w:eastAsia="仿宋" w:cs="Times New Roman"/>
                <w:color w:val="auto"/>
                <w:sz w:val="21"/>
                <w:szCs w:val="21"/>
              </w:rPr>
              <w:t>”</w:t>
            </w:r>
            <w:r>
              <w:rPr>
                <w:rStyle w:val="52"/>
                <w:rFonts w:hint="default" w:ascii="仿宋" w:hAnsi="仿宋" w:eastAsia="仿宋" w:cs="Times New Roman"/>
                <w:color w:val="auto"/>
                <w:sz w:val="21"/>
                <w:szCs w:val="21"/>
              </w:rPr>
              <w:t>现象分子机理分析与遗传效应研究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31672150</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李征</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张颜、魏春华、靳晶豪、谭筠怡、牛欢欢、侯珊珊</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201701-202012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64</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紫心大白菜花青素特异积累的分子机理研究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31672163</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张鲁刚</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惠麦霞、张明科</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201701-202012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65</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葡萄无核性状基因发掘及其调控机理</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U1603234</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王西平</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孙锋、李智</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201701-202012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66</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辣椒特异种质</w:t>
            </w:r>
            <w:r>
              <w:rPr>
                <w:rStyle w:val="54"/>
                <w:rFonts w:ascii="仿宋" w:hAnsi="仿宋" w:eastAsia="仿宋" w:cs="Times New Roman"/>
                <w:color w:val="auto"/>
                <w:sz w:val="21"/>
                <w:szCs w:val="21"/>
              </w:rPr>
              <w:t>R9</w:t>
            </w:r>
            <w:r>
              <w:rPr>
                <w:rFonts w:ascii="仿宋" w:hAnsi="仿宋" w:eastAsia="仿宋" w:cs="Times New Roman"/>
                <w:kern w:val="0"/>
                <w:szCs w:val="21"/>
              </w:rPr>
              <w:t>抗热相关基因的发掘及其表达调控机理的研究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U1603102</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巩振辉</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杜羽、逯明辉、陈儒钢、黄炜</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201701-201912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67</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SEP</w:t>
            </w:r>
            <w:r>
              <w:rPr>
                <w:rStyle w:val="49"/>
                <w:rFonts w:hint="default" w:ascii="仿宋" w:hAnsi="仿宋" w:eastAsia="仿宋" w:cs="Times New Roman"/>
                <w:color w:val="auto"/>
                <w:sz w:val="21"/>
                <w:szCs w:val="21"/>
              </w:rPr>
              <w:t>型</w:t>
            </w:r>
            <w:r>
              <w:rPr>
                <w:rFonts w:ascii="仿宋" w:hAnsi="仿宋" w:eastAsia="仿宋" w:cs="Times New Roman"/>
                <w:kern w:val="0"/>
                <w:szCs w:val="21"/>
              </w:rPr>
              <w:t>MADS</w:t>
            </w:r>
            <w:r>
              <w:rPr>
                <w:rStyle w:val="49"/>
                <w:rFonts w:hint="default" w:ascii="仿宋" w:hAnsi="仿宋" w:eastAsia="仿宋" w:cs="Times New Roman"/>
                <w:color w:val="auto"/>
                <w:sz w:val="21"/>
                <w:szCs w:val="21"/>
              </w:rPr>
              <w:t>基因</w:t>
            </w:r>
            <w:r>
              <w:rPr>
                <w:rFonts w:ascii="仿宋" w:hAnsi="仿宋" w:eastAsia="仿宋" w:cs="Times New Roman"/>
                <w:kern w:val="0"/>
                <w:szCs w:val="21"/>
              </w:rPr>
              <w:t>PpSEP1</w:t>
            </w:r>
            <w:r>
              <w:rPr>
                <w:rStyle w:val="49"/>
                <w:rFonts w:hint="default" w:ascii="仿宋" w:hAnsi="仿宋" w:eastAsia="仿宋" w:cs="Times New Roman"/>
                <w:color w:val="auto"/>
                <w:sz w:val="21"/>
                <w:szCs w:val="21"/>
              </w:rPr>
              <w:t>对不同质地桃果实耐贮性形成的调控机制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31572079</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赵彩平</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马娟娟、刘航空、宋春晖、李金金、李芳、钱铭</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201601-201912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68</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不同结构域MYB</w:t>
            </w:r>
            <w:r>
              <w:rPr>
                <w:rStyle w:val="49"/>
                <w:rFonts w:hint="default" w:ascii="仿宋" w:hAnsi="仿宋" w:eastAsia="仿宋" w:cs="Times New Roman"/>
                <w:color w:val="auto"/>
                <w:sz w:val="21"/>
                <w:szCs w:val="21"/>
              </w:rPr>
              <w:t>转录因子调控梨果实类黄酮合成的三级调控网络解析</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31572086</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徐凌飞</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王志刚、翟锐、张孟夏、王娱乐</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201601-201912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69</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秦冠苹果一个锌指蛋白（</w:t>
            </w:r>
            <w:r>
              <w:rPr>
                <w:rStyle w:val="50"/>
                <w:rFonts w:ascii="仿宋" w:hAnsi="仿宋" w:eastAsia="仿宋"/>
                <w:color w:val="auto"/>
                <w:sz w:val="21"/>
                <w:szCs w:val="21"/>
              </w:rPr>
              <w:t>MdZFP1</w:t>
            </w:r>
            <w:r>
              <w:rPr>
                <w:rFonts w:ascii="仿宋" w:hAnsi="仿宋" w:eastAsia="仿宋" w:cs="Times New Roman"/>
                <w:kern w:val="0"/>
                <w:szCs w:val="21"/>
              </w:rPr>
              <w:t>）在干旱胁迫下的功能分析</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31572106</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管清美</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徐记迪、谢银鹏、耿达立</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201601-201912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70</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苹果属cystatins</w:t>
            </w:r>
            <w:r>
              <w:rPr>
                <w:rStyle w:val="49"/>
                <w:rFonts w:hint="default" w:ascii="仿宋" w:hAnsi="仿宋" w:eastAsia="仿宋" w:cs="Times New Roman"/>
                <w:color w:val="auto"/>
                <w:sz w:val="21"/>
                <w:szCs w:val="21"/>
              </w:rPr>
              <w:t>基因在干旱胁迫应答中的功能及分子调控机制研究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31572108</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马锋旺</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李翠英、谭延肖、王平、李超</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201601-201912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71</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山葡萄抗灰霉病关键基因发掘及抗病机理研究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31572110</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王西平</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高敏、李智、闫筱筱、郭春磊</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201601-201912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72</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自噬相关基因CaATG8</w:t>
            </w:r>
            <w:r>
              <w:rPr>
                <w:rStyle w:val="49"/>
                <w:rFonts w:hint="default" w:ascii="仿宋" w:hAnsi="仿宋" w:eastAsia="仿宋" w:cs="Times New Roman"/>
                <w:color w:val="auto"/>
                <w:sz w:val="21"/>
                <w:szCs w:val="21"/>
              </w:rPr>
              <w:t>在辣椒耐热性形成中的功能与调控</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31572114</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逯明辉</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赵尊练、陈儒钢、郭猛、翟于菲、鲁进萍、汪虎、刘锦红</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201601-201912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73</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黄瓜脂氧合酶基因CsLOX02</w:t>
            </w:r>
            <w:r>
              <w:rPr>
                <w:rStyle w:val="49"/>
                <w:rFonts w:hint="default" w:ascii="仿宋" w:hAnsi="仿宋" w:eastAsia="仿宋" w:cs="Times New Roman"/>
                <w:color w:val="auto"/>
                <w:sz w:val="21"/>
                <w:szCs w:val="21"/>
              </w:rPr>
              <w:t>和</w:t>
            </w:r>
            <w:r>
              <w:rPr>
                <w:rFonts w:ascii="仿宋" w:hAnsi="仿宋" w:eastAsia="仿宋" w:cs="Times New Roman"/>
                <w:kern w:val="0"/>
                <w:szCs w:val="21"/>
              </w:rPr>
              <w:t>CsLOX08</w:t>
            </w:r>
            <w:r>
              <w:rPr>
                <w:rStyle w:val="49"/>
                <w:rFonts w:hint="default" w:ascii="仿宋" w:hAnsi="仿宋" w:eastAsia="仿宋" w:cs="Times New Roman"/>
                <w:color w:val="auto"/>
                <w:sz w:val="21"/>
                <w:szCs w:val="21"/>
              </w:rPr>
              <w:t>在</w:t>
            </w:r>
            <w:r>
              <w:rPr>
                <w:rFonts w:ascii="仿宋" w:hAnsi="仿宋" w:eastAsia="仿宋" w:cs="Times New Roman"/>
                <w:kern w:val="0"/>
                <w:szCs w:val="21"/>
              </w:rPr>
              <w:t>C9</w:t>
            </w:r>
            <w:r>
              <w:rPr>
                <w:rStyle w:val="49"/>
                <w:rFonts w:hint="default" w:ascii="仿宋" w:hAnsi="仿宋" w:eastAsia="仿宋" w:cs="Times New Roman"/>
                <w:color w:val="auto"/>
                <w:sz w:val="21"/>
                <w:szCs w:val="21"/>
              </w:rPr>
              <w:t>醛类香气合成中的功能解析</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31572143</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陈书霞</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郭佳、张静、郭晓、徐丽丽</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201601-201912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74</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番茄RBOH</w:t>
            </w:r>
            <w:r>
              <w:rPr>
                <w:rStyle w:val="49"/>
                <w:rFonts w:hint="default" w:ascii="仿宋" w:hAnsi="仿宋" w:eastAsia="仿宋" w:cs="Times New Roman"/>
                <w:color w:val="auto"/>
                <w:sz w:val="21"/>
                <w:szCs w:val="21"/>
              </w:rPr>
              <w:t>和</w:t>
            </w:r>
            <w:r>
              <w:rPr>
                <w:rFonts w:ascii="仿宋" w:hAnsi="仿宋" w:eastAsia="仿宋" w:cs="Times New Roman"/>
                <w:kern w:val="0"/>
                <w:szCs w:val="21"/>
              </w:rPr>
              <w:t>MAPK</w:t>
            </w:r>
            <w:r>
              <w:rPr>
                <w:rStyle w:val="49"/>
                <w:rFonts w:hint="default" w:ascii="仿宋" w:hAnsi="仿宋" w:eastAsia="仿宋" w:cs="Times New Roman"/>
                <w:color w:val="auto"/>
                <w:sz w:val="21"/>
                <w:szCs w:val="21"/>
              </w:rPr>
              <w:t>基因在番茄防御害虫中的作用及机制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31501640</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曹贺贺</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田宏刚，张占凤，陈楠，康志伟</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75</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w:t>
            </w:r>
            <w:r>
              <w:rPr>
                <w:rStyle w:val="49"/>
                <w:rFonts w:hint="default" w:ascii="仿宋" w:hAnsi="仿宋" w:eastAsia="仿宋" w:cs="Times New Roman"/>
                <w:color w:val="auto"/>
                <w:sz w:val="21"/>
                <w:szCs w:val="21"/>
              </w:rPr>
              <w:t>蜜脆</w:t>
            </w:r>
            <w:r>
              <w:rPr>
                <w:rFonts w:ascii="仿宋" w:hAnsi="仿宋" w:eastAsia="仿宋" w:cs="Times New Roman"/>
                <w:kern w:val="0"/>
                <w:szCs w:val="21"/>
              </w:rPr>
              <w:t>’×‘</w:t>
            </w:r>
            <w:r>
              <w:rPr>
                <w:rStyle w:val="49"/>
                <w:rFonts w:hint="default" w:ascii="仿宋" w:hAnsi="仿宋" w:eastAsia="仿宋" w:cs="Times New Roman"/>
                <w:color w:val="auto"/>
                <w:sz w:val="21"/>
                <w:szCs w:val="21"/>
              </w:rPr>
              <w:t>秦冠</w:t>
            </w:r>
            <w:r>
              <w:rPr>
                <w:rFonts w:ascii="仿宋" w:hAnsi="仿宋" w:eastAsia="仿宋" w:cs="Times New Roman"/>
                <w:kern w:val="0"/>
                <w:szCs w:val="21"/>
              </w:rPr>
              <w:t>’</w:t>
            </w:r>
            <w:r>
              <w:rPr>
                <w:rStyle w:val="49"/>
                <w:rFonts w:hint="default" w:ascii="仿宋" w:hAnsi="仿宋" w:eastAsia="仿宋" w:cs="Times New Roman"/>
                <w:color w:val="auto"/>
                <w:sz w:val="21"/>
                <w:szCs w:val="21"/>
              </w:rPr>
              <w:t>苹果</w:t>
            </w:r>
            <w:r>
              <w:rPr>
                <w:rFonts w:ascii="仿宋" w:hAnsi="仿宋" w:eastAsia="仿宋" w:cs="Times New Roman"/>
                <w:kern w:val="0"/>
                <w:szCs w:val="21"/>
              </w:rPr>
              <w:t xml:space="preserve">F1 </w:t>
            </w:r>
            <w:r>
              <w:rPr>
                <w:rStyle w:val="49"/>
                <w:rFonts w:hint="default" w:ascii="仿宋" w:hAnsi="仿宋" w:eastAsia="仿宋" w:cs="Times New Roman"/>
                <w:color w:val="auto"/>
                <w:sz w:val="21"/>
                <w:szCs w:val="21"/>
              </w:rPr>
              <w:t>代果实香气物质的遗传分析与</w:t>
            </w:r>
            <w:r>
              <w:rPr>
                <w:rFonts w:ascii="仿宋" w:hAnsi="仿宋" w:eastAsia="仿宋" w:cs="Times New Roman"/>
                <w:kern w:val="0"/>
                <w:szCs w:val="21"/>
              </w:rPr>
              <w:t xml:space="preserve">QTL </w:t>
            </w:r>
            <w:r>
              <w:rPr>
                <w:rStyle w:val="49"/>
                <w:rFonts w:hint="default" w:ascii="仿宋" w:hAnsi="仿宋" w:eastAsia="仿宋" w:cs="Times New Roman"/>
                <w:color w:val="auto"/>
                <w:sz w:val="21"/>
                <w:szCs w:val="21"/>
              </w:rPr>
              <w:t>定位</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31501724</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刘翠华</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任小林、周会玲、何玲</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76</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中国野生毛葡萄转录因子VqWRKY3</w:t>
            </w:r>
            <w:r>
              <w:rPr>
                <w:rStyle w:val="49"/>
                <w:rFonts w:hint="default" w:ascii="仿宋" w:hAnsi="仿宋" w:eastAsia="仿宋" w:cs="Times New Roman"/>
                <w:color w:val="auto"/>
                <w:sz w:val="21"/>
                <w:szCs w:val="21"/>
              </w:rPr>
              <w:t>抗黑痘病的功能分析与调控机制研究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31501740</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李智</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高敏、王莉、郭春磊、范艳春、王现行、乔恒波</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77</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梨miR156</w:t>
            </w:r>
            <w:r>
              <w:rPr>
                <w:rStyle w:val="49"/>
                <w:rFonts w:hint="default" w:ascii="仿宋" w:hAnsi="仿宋" w:eastAsia="仿宋" w:cs="Times New Roman"/>
                <w:color w:val="auto"/>
                <w:sz w:val="21"/>
                <w:szCs w:val="21"/>
              </w:rPr>
              <w:t>及其靶基因</w:t>
            </w:r>
            <w:r>
              <w:rPr>
                <w:rFonts w:ascii="仿宋" w:hAnsi="仿宋" w:eastAsia="仿宋" w:cs="Times New Roman"/>
                <w:kern w:val="0"/>
                <w:szCs w:val="21"/>
              </w:rPr>
              <w:t>SPLs</w:t>
            </w:r>
            <w:r>
              <w:rPr>
                <w:rStyle w:val="49"/>
                <w:rFonts w:hint="default" w:ascii="仿宋" w:hAnsi="仿宋" w:eastAsia="仿宋" w:cs="Times New Roman"/>
                <w:color w:val="auto"/>
                <w:sz w:val="21"/>
                <w:szCs w:val="21"/>
              </w:rPr>
              <w:t>介导花青苷合成光信号应答的分子机制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31501741</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鲍露</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张东、高岳芳、郑立伟</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78</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干旱和盐胁迫下番茄水孔蛋白PIPs</w:t>
            </w:r>
            <w:r>
              <w:rPr>
                <w:rStyle w:val="49"/>
                <w:rFonts w:hint="default" w:ascii="仿宋" w:hAnsi="仿宋" w:eastAsia="仿宋" w:cs="Times New Roman"/>
                <w:color w:val="auto"/>
                <w:sz w:val="21"/>
                <w:szCs w:val="21"/>
              </w:rPr>
              <w:t>在维持植株整体水分平衡中的作用研究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31501751</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郭佳</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张颜、项萍、孙昊、张田田、韩卫华</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79</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番茄油菜素内酯受体SlBRI1</w:t>
            </w:r>
            <w:r>
              <w:rPr>
                <w:rStyle w:val="49"/>
                <w:rFonts w:hint="default" w:ascii="仿宋" w:hAnsi="仿宋" w:eastAsia="仿宋" w:cs="Times New Roman"/>
                <w:color w:val="auto"/>
                <w:sz w:val="21"/>
                <w:szCs w:val="21"/>
              </w:rPr>
              <w:t>磷酸化对果实发育成熟的影响</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31501771</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汪淑芬</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杨振超、陈儒钢、聂书明、刘建伟、甘肃富</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80</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葡萄霜霉菌效应因子筛选及中国野生葡萄抗霜霉病基因鉴定</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31471844</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徐炎</w:t>
            </w:r>
          </w:p>
        </w:tc>
        <w:tc>
          <w:tcPr>
            <w:tcW w:w="3164" w:type="dxa"/>
            <w:vAlign w:val="center"/>
          </w:tcPr>
          <w:p>
            <w:pPr>
              <w:spacing w:line="240" w:lineRule="exact"/>
              <w:rPr>
                <w:rFonts w:ascii="仿宋" w:hAnsi="仿宋" w:eastAsia="仿宋" w:cs="Times New Roman"/>
                <w:kern w:val="0"/>
                <w:szCs w:val="21"/>
              </w:rPr>
            </w:pPr>
            <w:r>
              <w:rPr>
                <w:rFonts w:ascii="仿宋" w:hAnsi="仿宋" w:eastAsia="仿宋" w:cs="Times New Roman"/>
                <w:kern w:val="0"/>
                <w:szCs w:val="21"/>
              </w:rPr>
              <w:t>刘瑞琪，尹晓，向高青，李志谦</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201501-201812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81</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MYB1启动子甲基化调控光胁迫诱导苹果果实着色的机制研究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31471845</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赵政阳</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杨亚州、王雷存、高华、孟蕊、景晨娟</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201501-201812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82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82</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大蒜化感物质消减番茄连作障碍的生理和分子机制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31471865</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程智慧</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杜慧芳、高京草、潘玉朋、刘晓雪</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201501-201812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83</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干旱和盐胁迫下硅诱导番茄可溶性糖积累的机理和作用</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31471866</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宫海军</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郭佳、徐宣斌、孙昊、朱永兴、李换丽、胡彦宏、韩卫华</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201501-201812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84</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黄瓜单性</w:t>
            </w:r>
            <w:r>
              <w:rPr>
                <w:rStyle w:val="55"/>
                <w:rFonts w:ascii="仿宋" w:hAnsi="仿宋" w:eastAsia="仿宋" w:cs="Times New Roman"/>
                <w:color w:val="auto"/>
                <w:sz w:val="21"/>
                <w:szCs w:val="21"/>
              </w:rPr>
              <w:t>/</w:t>
            </w:r>
            <w:r>
              <w:rPr>
                <w:rStyle w:val="49"/>
                <w:rFonts w:hint="default" w:ascii="仿宋" w:hAnsi="仿宋" w:eastAsia="仿宋" w:cs="Times New Roman"/>
                <w:color w:val="auto"/>
                <w:sz w:val="21"/>
                <w:szCs w:val="21"/>
              </w:rPr>
              <w:t>两性花发育的分子调控机理研究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31471879</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李征</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安丽君、逯明辉、徐宣斌、石玉、吴佳文、朱永兴、孙昊、王义超</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201501-201812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85</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黄瓜无卷须基因（</w:t>
            </w:r>
            <w:r>
              <w:rPr>
                <w:rStyle w:val="55"/>
                <w:rFonts w:ascii="仿宋" w:hAnsi="仿宋" w:eastAsia="仿宋" w:cs="Times New Roman"/>
                <w:color w:val="auto"/>
                <w:sz w:val="21"/>
                <w:szCs w:val="21"/>
              </w:rPr>
              <w:t>td</w:t>
            </w:r>
            <w:r>
              <w:rPr>
                <w:rStyle w:val="49"/>
                <w:rFonts w:hint="default" w:ascii="仿宋" w:hAnsi="仿宋" w:eastAsia="仿宋" w:cs="Times New Roman"/>
                <w:color w:val="auto"/>
                <w:sz w:val="21"/>
                <w:szCs w:val="21"/>
              </w:rPr>
              <w:t>）的克隆及功能分析</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31471891</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李玉红</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孟焕文、廖明帜、张朝文、王琪琦、付冰冰、陈菲帆</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201501-201812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86</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温室环境因子驱动的甜瓜蒸腾蒸发机理模型研究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31471916</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李建明</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胡晓辉、张智、丁明</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201501-201812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87</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干旱条件下苹果高水分利用效率的分子机制及其遗传分析</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31330068</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马锋旺</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李鹏民、张军科、邹养军、梁东、李翠英、王海波、谭延肖</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201401-201812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88</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现代苹果产业体系</w:t>
            </w:r>
            <w:r>
              <w:rPr>
                <w:rStyle w:val="56"/>
                <w:rFonts w:ascii="仿宋" w:hAnsi="仿宋" w:eastAsia="仿宋"/>
                <w:color w:val="auto"/>
                <w:sz w:val="21"/>
                <w:szCs w:val="21"/>
              </w:rPr>
              <w:t>-</w:t>
            </w:r>
            <w:r>
              <w:rPr>
                <w:rFonts w:ascii="仿宋" w:hAnsi="仿宋" w:eastAsia="仿宋" w:cs="Times New Roman"/>
                <w:kern w:val="0"/>
                <w:szCs w:val="21"/>
              </w:rPr>
              <w:t>苗木繁育与栽培技术</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CARS-28-13</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韩明玉</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范崇辉、张立新、张东、马娟娟</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89</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现代苹果产业体系</w:t>
            </w:r>
            <w:r>
              <w:rPr>
                <w:rStyle w:val="56"/>
                <w:rFonts w:ascii="仿宋" w:hAnsi="仿宋" w:eastAsia="仿宋"/>
                <w:color w:val="auto"/>
                <w:sz w:val="21"/>
                <w:szCs w:val="21"/>
              </w:rPr>
              <w:t>-</w:t>
            </w:r>
            <w:r>
              <w:rPr>
                <w:rFonts w:ascii="仿宋" w:hAnsi="仿宋" w:eastAsia="仿宋" w:cs="Times New Roman"/>
                <w:kern w:val="0"/>
                <w:szCs w:val="21"/>
              </w:rPr>
              <w:t>中晚熟品种</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CARS-28-03</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赵政阳</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王雷存、高华、刘振中、梁俊、杨亚州</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90</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现代苹果产业体系</w:t>
            </w:r>
            <w:r>
              <w:rPr>
                <w:rStyle w:val="56"/>
                <w:rFonts w:ascii="仿宋" w:hAnsi="仿宋" w:eastAsia="仿宋"/>
                <w:color w:val="auto"/>
                <w:sz w:val="21"/>
                <w:szCs w:val="21"/>
              </w:rPr>
              <w:t>-</w:t>
            </w:r>
            <w:r>
              <w:rPr>
                <w:rFonts w:ascii="仿宋" w:hAnsi="仿宋" w:eastAsia="仿宋" w:cs="Times New Roman"/>
                <w:kern w:val="0"/>
                <w:szCs w:val="21"/>
              </w:rPr>
              <w:t>生物技术与抗性育种</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CARS-28-07</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马锋旺</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李鹏民、李明军、邹养军、李翠英</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91</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现代苹果产业体系</w:t>
            </w:r>
            <w:r>
              <w:rPr>
                <w:rStyle w:val="56"/>
                <w:rFonts w:ascii="仿宋" w:hAnsi="仿宋" w:eastAsia="仿宋"/>
                <w:color w:val="auto"/>
                <w:sz w:val="21"/>
                <w:szCs w:val="21"/>
              </w:rPr>
              <w:t>-</w:t>
            </w:r>
            <w:r>
              <w:rPr>
                <w:rFonts w:ascii="仿宋" w:hAnsi="仿宋" w:eastAsia="仿宋" w:cs="Times New Roman"/>
                <w:kern w:val="0"/>
                <w:szCs w:val="21"/>
              </w:rPr>
              <w:t>整形修剪</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CARS-28-14</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李丙智</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范崇辉、王俊峰、李高潮</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92</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现代苹果产业体系</w:t>
            </w:r>
            <w:r>
              <w:rPr>
                <w:rStyle w:val="56"/>
                <w:rFonts w:ascii="仿宋" w:hAnsi="仿宋" w:eastAsia="仿宋"/>
                <w:color w:val="auto"/>
                <w:sz w:val="21"/>
                <w:szCs w:val="21"/>
              </w:rPr>
              <w:t>-</w:t>
            </w:r>
            <w:r>
              <w:rPr>
                <w:rFonts w:ascii="仿宋" w:hAnsi="仿宋" w:eastAsia="仿宋" w:cs="Times New Roman"/>
                <w:kern w:val="0"/>
                <w:szCs w:val="21"/>
              </w:rPr>
              <w:t>果园水分管理</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CARS-28-21</w:t>
            </w:r>
          </w:p>
        </w:tc>
        <w:tc>
          <w:tcPr>
            <w:tcW w:w="851" w:type="dxa"/>
            <w:vAlign w:val="center"/>
          </w:tcPr>
          <w:p>
            <w:pPr>
              <w:widowControl/>
              <w:spacing w:line="240" w:lineRule="exact"/>
              <w:jc w:val="center"/>
              <w:textAlignment w:val="center"/>
              <w:rPr>
                <w:rFonts w:ascii="仿宋" w:hAnsi="仿宋" w:eastAsia="仿宋" w:cs="Times New Roman"/>
                <w:szCs w:val="21"/>
              </w:rPr>
            </w:pPr>
            <w:r>
              <w:fldChar w:fldCharType="begin"/>
            </w:r>
            <w:r>
              <w:instrText xml:space="preserve"> HYPERLINK "http://123.127.160.76/apply/regScientist.do?method=showOpen&amp;id=1105" </w:instrText>
            </w:r>
            <w:r>
              <w:fldChar w:fldCharType="separate"/>
            </w:r>
            <w:r>
              <w:rPr>
                <w:rStyle w:val="26"/>
                <w:rFonts w:ascii="仿宋" w:hAnsi="仿宋" w:eastAsia="仿宋" w:cs="Times New Roman"/>
                <w:szCs w:val="21"/>
              </w:rPr>
              <w:t>张林森</w:t>
            </w:r>
            <w:r>
              <w:rPr>
                <w:rStyle w:val="26"/>
                <w:rFonts w:ascii="仿宋" w:hAnsi="仿宋" w:eastAsia="仿宋" w:cs="Times New Roman"/>
                <w:szCs w:val="21"/>
              </w:rPr>
              <w:fldChar w:fldCharType="end"/>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李丙智、李高潮、张满让</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93</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现代苹果产业体系</w:t>
            </w:r>
            <w:r>
              <w:rPr>
                <w:rStyle w:val="56"/>
                <w:rFonts w:ascii="仿宋" w:hAnsi="仿宋" w:eastAsia="仿宋"/>
                <w:color w:val="auto"/>
                <w:sz w:val="21"/>
                <w:szCs w:val="21"/>
              </w:rPr>
              <w:t>-</w:t>
            </w:r>
            <w:r>
              <w:rPr>
                <w:rFonts w:ascii="仿宋" w:hAnsi="仿宋" w:eastAsia="仿宋" w:cs="Times New Roman"/>
                <w:kern w:val="0"/>
                <w:szCs w:val="21"/>
              </w:rPr>
              <w:t>采后处理与产地贮藏</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CARS-28-26</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任小林</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饶景萍、何玲、周会玲、刘翠花</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94</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现代茶叶产业体系</w:t>
            </w:r>
            <w:r>
              <w:rPr>
                <w:rStyle w:val="56"/>
                <w:rFonts w:ascii="仿宋" w:hAnsi="仿宋" w:eastAsia="仿宋"/>
                <w:color w:val="auto"/>
                <w:sz w:val="21"/>
                <w:szCs w:val="21"/>
              </w:rPr>
              <w:t>-</w:t>
            </w:r>
            <w:r>
              <w:rPr>
                <w:rFonts w:ascii="仿宋" w:hAnsi="仿宋" w:eastAsia="仿宋" w:cs="Times New Roman"/>
                <w:kern w:val="0"/>
                <w:szCs w:val="21"/>
              </w:rPr>
              <w:t>汉中综合试验站</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CARS-23</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余有本</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肖斌、周天山、高岳芳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95</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现代梨产业体系</w:t>
            </w:r>
            <w:r>
              <w:rPr>
                <w:rStyle w:val="56"/>
                <w:rFonts w:ascii="仿宋" w:hAnsi="仿宋" w:eastAsia="仿宋"/>
                <w:color w:val="auto"/>
                <w:sz w:val="21"/>
                <w:szCs w:val="21"/>
              </w:rPr>
              <w:t>-</w:t>
            </w:r>
            <w:r>
              <w:rPr>
                <w:rFonts w:ascii="仿宋" w:hAnsi="仿宋" w:eastAsia="仿宋" w:cs="Times New Roman"/>
                <w:kern w:val="0"/>
                <w:szCs w:val="21"/>
              </w:rPr>
              <w:t>杨凌综合试验站</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CARS-29-40</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徐凌飞</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王志刚、翟锐、房晨、杜红</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96</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现代苹果产业体系</w:t>
            </w:r>
            <w:r>
              <w:rPr>
                <w:rStyle w:val="56"/>
                <w:rFonts w:ascii="仿宋" w:hAnsi="仿宋" w:eastAsia="仿宋"/>
                <w:color w:val="auto"/>
                <w:sz w:val="21"/>
                <w:szCs w:val="21"/>
              </w:rPr>
              <w:t>-</w:t>
            </w:r>
            <w:r>
              <w:rPr>
                <w:rFonts w:ascii="仿宋" w:hAnsi="仿宋" w:eastAsia="仿宋" w:cs="Times New Roman"/>
                <w:kern w:val="0"/>
                <w:szCs w:val="21"/>
              </w:rPr>
              <w:t>宝鸡综合试验站</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CARS-28-44</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张满让</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王永红、郭延虎、魏建超</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97</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现代苹果产业体系</w:t>
            </w:r>
            <w:r>
              <w:rPr>
                <w:rStyle w:val="56"/>
                <w:rFonts w:ascii="仿宋" w:hAnsi="仿宋" w:eastAsia="仿宋"/>
                <w:color w:val="auto"/>
                <w:sz w:val="21"/>
                <w:szCs w:val="21"/>
              </w:rPr>
              <w:t>-</w:t>
            </w:r>
            <w:r>
              <w:rPr>
                <w:rFonts w:ascii="仿宋" w:hAnsi="仿宋" w:eastAsia="仿宋" w:cs="Times New Roman"/>
                <w:kern w:val="0"/>
                <w:szCs w:val="21"/>
              </w:rPr>
              <w:t>渭南综合试验站</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CARS-28-47</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梅立新</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赵政阳、王雷存、梁俊、杨亚州</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98</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现代桃产业体系</w:t>
            </w:r>
            <w:r>
              <w:rPr>
                <w:rStyle w:val="56"/>
                <w:rFonts w:ascii="仿宋" w:hAnsi="仿宋" w:eastAsia="仿宋"/>
                <w:color w:val="auto"/>
                <w:sz w:val="21"/>
                <w:szCs w:val="21"/>
              </w:rPr>
              <w:t>-</w:t>
            </w:r>
            <w:r>
              <w:rPr>
                <w:rFonts w:ascii="仿宋" w:hAnsi="仿宋" w:eastAsia="仿宋" w:cs="Times New Roman"/>
                <w:kern w:val="0"/>
                <w:szCs w:val="21"/>
              </w:rPr>
              <w:t>西安综合试验站</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CARS-31-Z-14</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王安柱</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赵彩平、刘航空</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99</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现代葡萄产业体系</w:t>
            </w:r>
            <w:r>
              <w:rPr>
                <w:rStyle w:val="56"/>
                <w:rFonts w:ascii="仿宋" w:hAnsi="仿宋" w:eastAsia="仿宋"/>
                <w:color w:val="auto"/>
                <w:sz w:val="21"/>
                <w:szCs w:val="21"/>
              </w:rPr>
              <w:t>-</w:t>
            </w:r>
            <w:r>
              <w:rPr>
                <w:rFonts w:ascii="仿宋" w:hAnsi="仿宋" w:eastAsia="仿宋" w:cs="Times New Roman"/>
                <w:kern w:val="0"/>
                <w:szCs w:val="21"/>
              </w:rPr>
              <w:t>无核品种选育</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CARS-30-yz-7</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王跃进</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张朝红、张剑侠、徐炎、文颖强</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100</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现代大宗蔬菜产业体系</w:t>
            </w:r>
            <w:r>
              <w:rPr>
                <w:rStyle w:val="56"/>
                <w:rFonts w:ascii="仿宋" w:hAnsi="仿宋" w:eastAsia="仿宋"/>
                <w:color w:val="auto"/>
                <w:sz w:val="21"/>
                <w:szCs w:val="21"/>
              </w:rPr>
              <w:t>-</w:t>
            </w:r>
            <w:r>
              <w:rPr>
                <w:rFonts w:ascii="仿宋" w:hAnsi="仿宋" w:eastAsia="仿宋" w:cs="Times New Roman"/>
                <w:kern w:val="0"/>
                <w:szCs w:val="21"/>
              </w:rPr>
              <w:t>西北旱区设施工程与环控</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CARS-25-D-02</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李建明</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邹志荣、胡晓辉、孙先鹏、曹晏飞、张智</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101</w:t>
            </w:r>
          </w:p>
        </w:tc>
        <w:tc>
          <w:tcPr>
            <w:tcW w:w="3950"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现代西瓜甜瓜产业体系</w:t>
            </w:r>
            <w:r>
              <w:rPr>
                <w:rStyle w:val="56"/>
                <w:rFonts w:ascii="仿宋" w:hAnsi="仿宋" w:eastAsia="仿宋"/>
                <w:color w:val="auto"/>
                <w:sz w:val="21"/>
                <w:szCs w:val="21"/>
              </w:rPr>
              <w:t>-</w:t>
            </w:r>
            <w:r>
              <w:rPr>
                <w:rFonts w:ascii="仿宋" w:hAnsi="仿宋" w:eastAsia="仿宋" w:cs="Times New Roman"/>
                <w:kern w:val="0"/>
                <w:szCs w:val="21"/>
              </w:rPr>
              <w:t>水分管理与旱作栽培</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CARS-26-18</w:t>
            </w:r>
          </w:p>
        </w:tc>
        <w:tc>
          <w:tcPr>
            <w:tcW w:w="851" w:type="dxa"/>
            <w:vAlign w:val="center"/>
          </w:tcPr>
          <w:p>
            <w:pPr>
              <w:widowControl/>
              <w:spacing w:line="240" w:lineRule="exact"/>
              <w:jc w:val="center"/>
              <w:textAlignment w:val="center"/>
              <w:rPr>
                <w:rFonts w:ascii="仿宋" w:hAnsi="仿宋" w:eastAsia="仿宋" w:cs="Times New Roman"/>
                <w:szCs w:val="21"/>
              </w:rPr>
            </w:pPr>
            <w:r>
              <w:rPr>
                <w:rFonts w:ascii="仿宋" w:hAnsi="仿宋" w:eastAsia="仿宋" w:cs="Times New Roman"/>
                <w:kern w:val="0"/>
                <w:szCs w:val="21"/>
              </w:rPr>
              <w:t>张显</w:t>
            </w:r>
          </w:p>
        </w:tc>
        <w:tc>
          <w:tcPr>
            <w:tcW w:w="3164" w:type="dxa"/>
            <w:vAlign w:val="center"/>
          </w:tcPr>
          <w:p>
            <w:pPr>
              <w:widowControl/>
              <w:spacing w:line="240" w:lineRule="exact"/>
              <w:textAlignment w:val="center"/>
              <w:rPr>
                <w:rFonts w:ascii="仿宋" w:hAnsi="仿宋" w:eastAsia="仿宋" w:cs="Times New Roman"/>
                <w:szCs w:val="21"/>
              </w:rPr>
            </w:pPr>
            <w:r>
              <w:rPr>
                <w:rFonts w:ascii="仿宋" w:hAnsi="仿宋" w:eastAsia="仿宋" w:cs="Times New Roman"/>
                <w:kern w:val="0"/>
                <w:szCs w:val="21"/>
              </w:rPr>
              <w:t>马建祥、张勇、李好、杨小振</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102</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现代大宗蔬菜产业体系</w:t>
            </w:r>
            <w:r>
              <w:rPr>
                <w:kern w:val="0"/>
              </w:rPr>
              <w:t>-</w:t>
            </w:r>
            <w:r>
              <w:rPr>
                <w:rFonts w:ascii="仿宋" w:hAnsi="仿宋" w:eastAsia="仿宋" w:cs="Times New Roman"/>
                <w:kern w:val="0"/>
                <w:szCs w:val="21"/>
              </w:rPr>
              <w:t>大宗蔬菜试验站建设</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CARS-25-G-47</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赵利民</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程永安、张恩慧、许忠民、张明科</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103</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延安综合试验站延安苹果技术研发</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CARS-28</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邹养军</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邹养军，安贵阳，杜敬斌，罗富平，贺武春</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201601-202012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104</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辣椒泛素连接酶基因CaF-box在逆境中表达特征及功能研究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2018JM3023</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陈儒钢</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巩振辉、马方、马继辉、骆丹</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105</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苹果酪氨酸脱羧酶基因MdTYDC响应盐胁迫的作用机制研究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2018JQ3001</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李超</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王衍鹏，陈奇</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106</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苹果MhYTP2与MhARD4互作负调控褐斑病抗性机理研究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2018JQ3008</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刘长海</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王倩、郭甜丽</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107</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苹果干旱响应基因MdbHLH122的功能鉴定及调控机理初探</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2018JQ3010</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毛柯</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毛柯，董庆龙，赵双，徐冰瑶</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108</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中国野葡萄抗霜霉病相关基因PR4b上游调控因子筛选及功能研究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2018JQ3012</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刘国甜</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王玉婷、窦梦茹</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109</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干旱和盐胁迫下两个番茄质膜水孔蛋白基因的功能分析</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2018JQ3056</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郭佳</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张颜，项萍，贾建华，韩娜妮</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4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110</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丛枝菌根真菌提高西瓜干旱抗性的信号传导机制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2018JQ3059</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李好</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杨小振、袁根兰、韩晓村、武瑞娜、张显</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79"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111</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GA信号转导因子SlMYB33在番茄花发育中的功能分析</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2018JQ3063</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张颜</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于经纬、边欣欣、万淑媛、罗博特、李茂坤</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112</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油菜素甾醇合成调控番茄叶片衰老的机制研究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2018JQ3069</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李小靖</w:t>
            </w:r>
          </w:p>
        </w:tc>
        <w:tc>
          <w:tcPr>
            <w:tcW w:w="3164"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张姣、屈峰</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113</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优质抗病设施专用辣椒新品种选育及配套栽培技术研究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2018NY-029</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逯明辉</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巩振辉、丁勤、黄炜、梁敏敏、魏雪梅、刘海波</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114</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黄瓜“超级雌性”新种质资源的研究与利用</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2018NY-034</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李征</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左翎，詹欣</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115</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猕猴桃快速、高效液体花粉授粉技术研究与示范</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2018NY-037</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姚春潮</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刘占德、邓丰产、郁俊谊、白雪</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116</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优质抗病甜瓜新品种选育及配套栽培技术研究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2018NY-047</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张会梅</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杜军志、司立征、李省印</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117</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优质耐贮桃种质资源引进、评价与新品种选育研究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2018NY-048</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赵彩平</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王安柱、刘航空、徐泽、郑继成</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118</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优质抗病甘蓝新品种选育及栽培技术研究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2018NY-059</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许忠民</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许忠民、张恩慧、赵利民、郭佳、李升娟、姜娇、石汶汶</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119</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猕猴桃野生种质资源的收集和耐碱性砧木的筛选</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2018NY-087</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王南南</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杨成泉，黄冬，于凌燕</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120</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农业废弃物基质化利用及设施蔬菜有机基质高效栽培体系研究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2018TSCXL-NY-05-01</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胡晓辉</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李建明，李小靖，屈锋，张佼，朱玉尧，张爱珺，朱琳</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4"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121</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设施园艺作物环境与水肥精准管理技术体系研究与示范</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2018TSCXL-NY-05-03</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张智</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洪婷婷2015010369，龚明明2015010376</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r>
          </w:tbl>
          <w:p>
            <w:pPr>
              <w:widowControl/>
              <w:spacing w:line="240" w:lineRule="exact"/>
              <w:ind w:left="-105" w:leftChars="-50" w:right="-105" w:rightChars="-50"/>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122</w:t>
            </w:r>
          </w:p>
        </w:tc>
        <w:tc>
          <w:tcPr>
            <w:tcW w:w="395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高效节能日光温室结构及模块化建造设备与超低能耗主动蓄放热技术研发</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2018TSCXL-NY-05-05</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张勇</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邹志荣，何斌，倪欣宇，鲍恩财，</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201801-202012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123</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现代柿无公害高产栽培技术研究与示范</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2016KTTSNY01-02</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阮小凤</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杨勇、井赵斌、胡超、郭静</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124</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柿种质资源的收集、保存、研究和新品种选育</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2016KTTSNY01-06</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杨勇</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阮小凤、井赵斌、胡超、郭静</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125</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苹果专用授粉品种选育与示范</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2016KTCQ02-09</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刘振中</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高华、赵政阳、杨金</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126</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葡萄新品种选育与示范</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2016KTCQ02-04</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王西平</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李智、张修铭、王梦楠、张松霖</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127</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渭北不同区域苹果砧木与砧穗组合评价筛选与应用</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2016KTZDNY01-10</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韩明玉</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李丙智、范崇辉、张立新、张林森、张东、马娟娟、李新建、曹继华、张晓云、王超、李红涛、党志明、郭学军</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128</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苹果郁闭园改造与提质增效关键技术研究与示范</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2016KTZDNY01-07</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梁俊</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赵政阳、王雷存、高华、刘振中、温志</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129</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苹果抗逆优质新品种和矮化砧木的选育</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2016KTZDNY01-01</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马锋旺</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安贵阳、邹养军、李翠英、李明军、耿达</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130</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苹果无病毒矮化自根砧大苗培育技术创新及示范</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2016KTZDNY01-04</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王俊峰</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李丙智、李高潮、张满让</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131</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大棚菜田环境健康与蔬菜产品安全关键技术研究</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2016KTCL02-01</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程智慧</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孟焕文、杜慧芳、李玉红、刘佳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132</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樱桃优质新品种与矮密高效栽培技术研发与示范</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2016nyzxzj19</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蔡宇良</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王安柱、阮小凤、何绪生、李鑫、慕小倩、曹修翠、赵晓军、魏旭、郭缠俊、霍卫民</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133</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苹果产业转型升级关键技术研发与集成示范</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2016nyzxzj24</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赵政阳</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王雷存、高华、刘振中、梁俊、杨亚州</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134</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新型保温专利大棚设计建造与配套技术集成转化</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2016nyzxzj27</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胡晓辉</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李建明、张智、丁明、甄爱</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201601-201712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135</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陕西省设施蔬菜技术骨干培训</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2016nyzxzj40</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王增信</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邹志荣、李建明、杨振超、周长吉、党永华、张树学</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201601-201612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136</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设施蔬菜土壤修复技术研究与示范</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2016nyzxzj41</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孙艳</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刘泽宇、孙云阔、金雯</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137</w:t>
            </w:r>
          </w:p>
        </w:tc>
        <w:tc>
          <w:tcPr>
            <w:tcW w:w="3950"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马铃薯茎尖超低温脱毒技术研究示范与推广</w:t>
            </w:r>
          </w:p>
        </w:tc>
        <w:tc>
          <w:tcPr>
            <w:tcW w:w="2066"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2016nyzxzj49</w:t>
            </w:r>
          </w:p>
        </w:tc>
        <w:tc>
          <w:tcPr>
            <w:tcW w:w="85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王乔春</w:t>
            </w:r>
          </w:p>
        </w:tc>
        <w:tc>
          <w:tcPr>
            <w:tcW w:w="3164" w:type="dxa"/>
            <w:vAlign w:val="center"/>
          </w:tcPr>
          <w:p>
            <w:pPr>
              <w:widowControl/>
              <w:spacing w:line="240" w:lineRule="exact"/>
              <w:textAlignment w:val="center"/>
              <w:rPr>
                <w:rFonts w:ascii="仿宋" w:hAnsi="仿宋" w:eastAsia="仿宋" w:cs="Times New Roman"/>
                <w:kern w:val="0"/>
                <w:szCs w:val="21"/>
              </w:rPr>
            </w:pPr>
            <w:r>
              <w:rPr>
                <w:rFonts w:ascii="仿宋" w:hAnsi="仿宋" w:eastAsia="仿宋" w:cs="Times New Roman"/>
                <w:kern w:val="0"/>
                <w:szCs w:val="21"/>
              </w:rPr>
              <w:t>李经纬、毕文璐、王明瑞</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201601-201812</w:t>
            </w:r>
          </w:p>
        </w:tc>
        <w:tc>
          <w:tcPr>
            <w:tcW w:w="830"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138</w:t>
            </w:r>
          </w:p>
        </w:tc>
        <w:tc>
          <w:tcPr>
            <w:tcW w:w="3950"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黄瓜全雌性控制F基因结构变异分析与“雌性丢失”现象研究</w:t>
            </w:r>
          </w:p>
        </w:tc>
        <w:tc>
          <w:tcPr>
            <w:tcW w:w="2066"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2017KJXX-57</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李征</w:t>
            </w:r>
          </w:p>
        </w:tc>
        <w:tc>
          <w:tcPr>
            <w:tcW w:w="3164"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逯明辉、李大伟</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139</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葡萄安全高效省力化栽培技术研发与示范</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2017NY-026</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张朝红</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王跃进、张剑侠、徐炎</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140</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提高嫁接西瓜品质的优良砧木筛选及配套技术研究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2017NY-049</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甄爱</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李建明、丁明、罗佳、杜清洁</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141</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温室主动集能补温关键技术研究与示范</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2017NY-154</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孙先鹏</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李建明、邹志荣、丁明</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142</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樱桃采收成熟度及贮藏保鲜技术体系研究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2017NY-160</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何玲</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蔡宇良、周会玲</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143</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早熟梨优良新品种选育与配套技术体系研究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2017NY-029</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王志刚</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徐凌飞、杨成泉</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144</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节能日光温室结构优化与配套技术开发研究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2017ZDXM-NY-057</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邹志荣</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张勇、孙先鹏、曹晏飞</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145</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抗寒、抗病优质葡萄新品种选育与示范</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2017ZDXM-NY-026</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张剑侠</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张宗勤、王洁萍、顾宝、李培楹</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146</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猕猴桃新品种选育及全营养超微粉加工工艺研究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2017ZDXM-NY-064</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刘占德</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姚春潮、安成立、郁俊谊</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147</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苹果树冠数字化模拟评价与高光效树形构建改造技术研究与应用</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2017ZDXM-NY-019</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张东</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韩明玉、马娟娟</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148</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设施园艺产业提质增效技术与装备开发</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2017ZDXM-NY-003</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李建明</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胡晓辉、丁明、张智</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149</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西甜瓜特色新品种选育及配套栽培技术研究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2017ZDXM-NY-025</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张勇</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张显、马建祥、李好、魏春华</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150</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优质特色苹果新品种选育</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2017ZDXM-NY-021</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高华</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赵政阳、刘振中、李鹏民</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151</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番茄油菜素内酯受体SlBRI1调控果实重量机理研究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2017JM3019</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汪淑芬</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胡体旭、刘建伟、聂书明、吕思琦</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152</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丙酮酸激酶基因DkPK7与中国甜柿自然脱涩间的关系研究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2017JQ3018</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关长飞</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郭静、胡超琼</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153</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寄主诱导基因沉默技术在辣椒-疫霉菌体系中的建立</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2017JQ3013</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杜羽</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巩振辉、孟玉玲、黄桂艳</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154</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苹果属野生资源遗传多态性及其褐斑病抗性的关联分析</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2017JQ3034</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梁微</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龚晓庆、马百全</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155</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苹果组蛋白去乙酰化基因的鉴定及其在干旱胁迫中的功能研究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2017JQ3001</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徐记迪</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管清美、李超、刘长海</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156</w:t>
            </w:r>
          </w:p>
        </w:tc>
        <w:tc>
          <w:tcPr>
            <w:tcW w:w="3950"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生长素响应因子SlARF8A调控番茄抗坏血酸积累的机理研究</w:t>
            </w:r>
          </w:p>
        </w:tc>
        <w:tc>
          <w:tcPr>
            <w:tcW w:w="2066"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2017JQ3016</w:t>
            </w:r>
          </w:p>
        </w:tc>
        <w:tc>
          <w:tcPr>
            <w:tcW w:w="851"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胡体旭</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汪淑芬、王琪琦、王玉钦</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201701-201812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1"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157</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洛川苹果转型升级关键技术研究与示范推广</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2017GYZX01</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安贵阳</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马锋旺、邹养军、王荣丽、贺武春、李翠英、李明军、王建峰、姚杰、屈军涛、党志明、陈新宝</w:t>
            </w:r>
          </w:p>
        </w:tc>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158</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瑞阳瑞雪苹果配套栽培技术研究与示范推广</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2017GYZX02</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赵政阳</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王雷存、高华、梁俊</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159</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宝鸡地区苹果新品种砧穂组合研究与示范推广</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2017GYZX03</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任小林</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张林森、张满让、王俊峰、李高潮</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160</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榆林地区蜜脆苹果采前落果防治技术研发与示范推广</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2017GYZX04</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邹养军</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邹养军，马锋旺，李明军，李翠英，李超，龚小庆</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161</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咸阳马栏红苹果生产关键技术研发与示范推广</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2017GYZX05</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李翠英</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马锋旺，邹养军，符轩畅</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162</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苹果营养成分综合研发及其应用</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2017GYZX07</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李鹏民</w:t>
            </w:r>
          </w:p>
        </w:tc>
        <w:tc>
          <w:tcPr>
            <w:tcW w:w="3164"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无</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163</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苹果高效育种新技术研发及其应用</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2017GYZX08</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李超</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赵琪、张志军、吴倩、王红英</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164</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苹果品质提升技术研发及其应用</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2017GYZX10</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李明军</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无</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165</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果实次生代谢产物发掘及应用</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2017GYZX11</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张静</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赵静、张飞、罗敏蓉、何姿飒</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541" w:type="dxa"/>
            <w:vAlign w:val="center"/>
          </w:tcPr>
          <w:p>
            <w:pPr>
              <w:widowControl/>
              <w:spacing w:line="240" w:lineRule="exact"/>
              <w:jc w:val="center"/>
              <w:textAlignment w:val="center"/>
              <w:rPr>
                <w:rFonts w:ascii="仿宋" w:hAnsi="仿宋" w:eastAsia="仿宋" w:cs="Times New Roman"/>
                <w:kern w:val="0"/>
                <w:szCs w:val="21"/>
              </w:rPr>
            </w:pPr>
            <w:r>
              <w:rPr>
                <w:rFonts w:ascii="仿宋" w:hAnsi="仿宋" w:eastAsia="仿宋" w:cs="Times New Roman"/>
                <w:kern w:val="0"/>
                <w:szCs w:val="21"/>
              </w:rPr>
              <w:t>166</w:t>
            </w:r>
          </w:p>
        </w:tc>
        <w:tc>
          <w:tcPr>
            <w:tcW w:w="3950" w:type="dxa"/>
            <w:vAlign w:val="center"/>
          </w:tcPr>
          <w:p>
            <w:pPr>
              <w:widowControl/>
              <w:textAlignment w:val="center"/>
              <w:rPr>
                <w:rFonts w:ascii="仿宋" w:hAnsi="仿宋" w:eastAsia="仿宋" w:cs="Times New Roman"/>
                <w:kern w:val="0"/>
                <w:szCs w:val="21"/>
              </w:rPr>
            </w:pPr>
            <w:r>
              <w:rPr>
                <w:rFonts w:hint="eastAsia" w:ascii="仿宋" w:hAnsi="仿宋" w:eastAsia="仿宋" w:cs="Times New Roman"/>
                <w:kern w:val="0"/>
                <w:szCs w:val="21"/>
              </w:rPr>
              <w:t>陕西苹果结构性调整的关键技术及其应用</w:t>
            </w:r>
          </w:p>
        </w:tc>
        <w:tc>
          <w:tcPr>
            <w:tcW w:w="2066" w:type="dxa"/>
            <w:vAlign w:val="center"/>
          </w:tcPr>
          <w:p>
            <w:pPr>
              <w:widowControl/>
              <w:jc w:val="left"/>
              <w:textAlignment w:val="center"/>
              <w:rPr>
                <w:rFonts w:ascii="仿宋" w:hAnsi="仿宋" w:eastAsia="仿宋" w:cs="Times New Roman"/>
                <w:kern w:val="0"/>
                <w:szCs w:val="21"/>
              </w:rPr>
            </w:pPr>
            <w:r>
              <w:rPr>
                <w:rFonts w:hint="eastAsia" w:ascii="仿宋" w:hAnsi="仿宋" w:eastAsia="仿宋" w:cs="Times New Roman"/>
                <w:kern w:val="0"/>
                <w:szCs w:val="21"/>
              </w:rPr>
              <w:t>2017GYZX13</w:t>
            </w:r>
          </w:p>
        </w:tc>
        <w:tc>
          <w:tcPr>
            <w:tcW w:w="851"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马锋旺</w:t>
            </w:r>
          </w:p>
        </w:tc>
        <w:tc>
          <w:tcPr>
            <w:tcW w:w="3164" w:type="dxa"/>
            <w:vAlign w:val="center"/>
          </w:tcPr>
          <w:p>
            <w:pPr>
              <w:widowControl/>
              <w:spacing w:line="240" w:lineRule="exact"/>
              <w:textAlignment w:val="center"/>
              <w:rPr>
                <w:rFonts w:ascii="仿宋" w:hAnsi="仿宋" w:eastAsia="仿宋" w:cs="Times New Roman"/>
                <w:kern w:val="0"/>
                <w:szCs w:val="21"/>
              </w:rPr>
            </w:pPr>
            <w:r>
              <w:rPr>
                <w:rFonts w:hint="eastAsia" w:ascii="仿宋" w:hAnsi="仿宋" w:eastAsia="仿宋" w:cs="Times New Roman"/>
                <w:kern w:val="0"/>
                <w:szCs w:val="21"/>
              </w:rPr>
              <w:t>邹养军，李翠英，李超，刘长海，赵琪</w:t>
            </w:r>
          </w:p>
        </w:tc>
        <w:tc>
          <w:tcPr>
            <w:tcW w:w="1478" w:type="dxa"/>
            <w:vAlign w:val="center"/>
          </w:tcPr>
          <w:tbl>
            <w:tblPr>
              <w:tblStyle w:val="22"/>
              <w:tblW w:w="147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1478" w:type="dxa"/>
                  <w:vAlign w:val="center"/>
                </w:tcPr>
                <w:p>
                  <w:pPr>
                    <w:widowControl/>
                    <w:spacing w:line="240" w:lineRule="exact"/>
                    <w:ind w:left="-105" w:leftChars="-50" w:right="-105" w:rightChars="-50"/>
                    <w:jc w:val="center"/>
                    <w:textAlignment w:val="center"/>
                    <w:rPr>
                      <w:rFonts w:ascii="仿宋" w:hAnsi="仿宋" w:eastAsia="仿宋" w:cs="Times New Roman"/>
                      <w:kern w:val="0"/>
                      <w:szCs w:val="21"/>
                    </w:rPr>
                  </w:pPr>
                  <w:r>
                    <w:rPr>
                      <w:rFonts w:hint="eastAsia" w:ascii="仿宋" w:hAnsi="仿宋" w:eastAsia="仿宋" w:cs="Times New Roman"/>
                      <w:kern w:val="0"/>
                      <w:szCs w:val="21"/>
                    </w:rPr>
                    <w:t>201701-201912</w:t>
                  </w:r>
                </w:p>
              </w:tc>
            </w:tr>
          </w:tbl>
          <w:p>
            <w:pPr>
              <w:widowControl/>
              <w:spacing w:line="240" w:lineRule="exact"/>
              <w:ind w:left="-105" w:leftChars="-50" w:right="-105" w:rightChars="-50"/>
              <w:jc w:val="center"/>
              <w:textAlignment w:val="center"/>
              <w:rPr>
                <w:rFonts w:ascii="仿宋" w:hAnsi="仿宋" w:eastAsia="仿宋" w:cs="Times New Roman"/>
                <w:kern w:val="0"/>
                <w:szCs w:val="21"/>
              </w:rPr>
            </w:pPr>
          </w:p>
        </w:tc>
        <w:tc>
          <w:tcPr>
            <w:tcW w:w="830" w:type="dxa"/>
            <w:vAlign w:val="center"/>
          </w:tcPr>
          <w:p>
            <w:pPr>
              <w:widowControl/>
              <w:jc w:val="center"/>
              <w:textAlignment w:val="center"/>
              <w:rPr>
                <w:rFonts w:ascii="仿宋" w:hAnsi="仿宋" w:eastAsia="仿宋" w:cs="Times New Roman"/>
                <w:kern w:val="0"/>
                <w:szCs w:val="21"/>
              </w:rPr>
            </w:pPr>
            <w:r>
              <w:rPr>
                <w:rFonts w:hint="eastAsia" w:ascii="仿宋" w:hAnsi="仿宋" w:eastAsia="仿宋" w:cs="Times New Roman"/>
                <w:kern w:val="0"/>
                <w:szCs w:val="21"/>
              </w:rPr>
              <w:t>50</w:t>
            </w:r>
          </w:p>
        </w:tc>
      </w:tr>
    </w:tbl>
    <w:p>
      <w:pPr>
        <w:pStyle w:val="4"/>
        <w:spacing w:before="0" w:after="0" w:line="240" w:lineRule="auto"/>
        <w:ind w:firstLine="420" w:firstLineChars="200"/>
        <w:rPr>
          <w:rFonts w:ascii="Times New Roman" w:hAnsi="Times New Roman" w:eastAsia="楷体" w:cs="Times New Roman"/>
          <w:b w:val="0"/>
          <w:color w:val="000000" w:themeColor="text1"/>
          <w:sz w:val="21"/>
          <w:szCs w:val="21"/>
        </w:rPr>
      </w:pPr>
      <w:bookmarkStart w:id="133" w:name="_Toc535227430"/>
      <w:r>
        <w:rPr>
          <w:rFonts w:ascii="Times New Roman" w:hAnsi="Times New Roman" w:eastAsia="楷体" w:cs="Times New Roman"/>
          <w:b w:val="0"/>
          <w:color w:val="000000" w:themeColor="text1"/>
          <w:sz w:val="21"/>
          <w:szCs w:val="21"/>
        </w:rPr>
        <w:t>注：此表填写省部级以上科研项目（课题）。</w:t>
      </w:r>
      <w:bookmarkEnd w:id="133"/>
    </w:p>
    <w:p>
      <w:pPr>
        <w:widowControl/>
        <w:jc w:val="left"/>
        <w:rPr>
          <w:rFonts w:ascii="Times New Roman" w:hAnsi="Times New Roman" w:eastAsia="黑体" w:cs="Times New Roman"/>
          <w:color w:val="000000" w:themeColor="text1"/>
          <w:sz w:val="28"/>
          <w:szCs w:val="28"/>
        </w:rPr>
      </w:pPr>
      <w:r>
        <w:rPr>
          <w:rFonts w:ascii="Times New Roman" w:hAnsi="Times New Roman" w:eastAsia="黑体" w:cs="Times New Roman"/>
          <w:color w:val="000000" w:themeColor="text1"/>
          <w:sz w:val="28"/>
          <w:szCs w:val="28"/>
        </w:rPr>
        <w:br w:type="page"/>
      </w:r>
    </w:p>
    <w:p>
      <w:pPr>
        <w:pStyle w:val="4"/>
        <w:spacing w:before="0" w:after="0" w:line="240" w:lineRule="auto"/>
        <w:ind w:firstLine="560" w:firstLineChars="200"/>
        <w:rPr>
          <w:rFonts w:ascii="Times New Roman" w:hAnsi="Times New Roman" w:eastAsia="楷体_GB2312" w:cs="Times New Roman"/>
          <w:color w:val="000000" w:themeColor="text1"/>
          <w:sz w:val="28"/>
          <w:szCs w:val="28"/>
        </w:rPr>
      </w:pPr>
      <w:bookmarkStart w:id="134" w:name="_Toc535227431"/>
      <w:r>
        <w:rPr>
          <w:rFonts w:ascii="Times New Roman" w:hAnsi="Times New Roman" w:eastAsia="楷体_GB2312" w:cs="Times New Roman"/>
          <w:color w:val="000000" w:themeColor="text1"/>
          <w:sz w:val="28"/>
          <w:szCs w:val="28"/>
        </w:rPr>
        <w:t>（三）研究成果</w:t>
      </w:r>
      <w:bookmarkEnd w:id="134"/>
    </w:p>
    <w:p>
      <w:pPr>
        <w:spacing w:before="156" w:beforeLines="50" w:after="156" w:afterLines="50" w:line="240" w:lineRule="exact"/>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1</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专利情况</w:t>
      </w:r>
    </w:p>
    <w:tbl>
      <w:tblPr>
        <w:tblStyle w:val="22"/>
        <w:tblW w:w="1429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5410"/>
        <w:gridCol w:w="2552"/>
        <w:gridCol w:w="1559"/>
        <w:gridCol w:w="1559"/>
        <w:gridCol w:w="1248"/>
        <w:gridCol w:w="12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94" w:hRule="atLeast"/>
          <w:tblHeader/>
          <w:jc w:val="center"/>
        </w:trPr>
        <w:tc>
          <w:tcPr>
            <w:tcW w:w="720" w:type="dxa"/>
            <w:vAlign w:val="center"/>
          </w:tcPr>
          <w:p>
            <w:pPr>
              <w:spacing w:line="240" w:lineRule="exact"/>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序号</w:t>
            </w:r>
          </w:p>
        </w:tc>
        <w:tc>
          <w:tcPr>
            <w:tcW w:w="5410" w:type="dxa"/>
            <w:vAlign w:val="center"/>
          </w:tcPr>
          <w:p>
            <w:pPr>
              <w:spacing w:line="240" w:lineRule="exact"/>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专利名称</w:t>
            </w:r>
          </w:p>
        </w:tc>
        <w:tc>
          <w:tcPr>
            <w:tcW w:w="2552" w:type="dxa"/>
            <w:vAlign w:val="center"/>
          </w:tcPr>
          <w:p>
            <w:pPr>
              <w:spacing w:line="240" w:lineRule="exact"/>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专利授权号</w:t>
            </w:r>
          </w:p>
        </w:tc>
        <w:tc>
          <w:tcPr>
            <w:tcW w:w="1559" w:type="dxa"/>
            <w:vAlign w:val="center"/>
          </w:tcPr>
          <w:p>
            <w:pPr>
              <w:spacing w:line="240" w:lineRule="exact"/>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获准国别</w:t>
            </w:r>
          </w:p>
        </w:tc>
        <w:tc>
          <w:tcPr>
            <w:tcW w:w="1559" w:type="dxa"/>
            <w:vAlign w:val="center"/>
          </w:tcPr>
          <w:p>
            <w:pPr>
              <w:spacing w:line="240" w:lineRule="exact"/>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完成人</w:t>
            </w:r>
          </w:p>
        </w:tc>
        <w:tc>
          <w:tcPr>
            <w:tcW w:w="1248" w:type="dxa"/>
            <w:vAlign w:val="center"/>
          </w:tcPr>
          <w:p>
            <w:pPr>
              <w:spacing w:line="240" w:lineRule="exact"/>
              <w:ind w:left="-105" w:leftChars="-50" w:right="-105" w:rightChars="-5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类型</w:t>
            </w:r>
          </w:p>
        </w:tc>
        <w:tc>
          <w:tcPr>
            <w:tcW w:w="1249" w:type="dxa"/>
            <w:vAlign w:val="center"/>
          </w:tcPr>
          <w:p>
            <w:pPr>
              <w:spacing w:line="240" w:lineRule="exact"/>
              <w:ind w:left="-105" w:leftChars="-50" w:right="-105" w:rightChars="-5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一种猕猴桃根茎防冻保温套筒</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ZL201720749592.6</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邓丰产</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一种提高苹果转基因材料再生效率的方法</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ZL201710005611.9</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张东</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发明专利</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一种樱桃超细长纺锤形矮化密植栽培方法</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ZL201510208938.7</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蔡宇良</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发明专利</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一种具有通风结构的日光温室</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ZL201720678414.9</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曹晏飞</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一种日光温室太阳能空气集热-相变蓄热系统及日光温室</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ZL201820218902.6</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曹晏飞</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一种温室自动升降补光系统</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ZL201820625160.9</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曹晏飞</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野生毛葡萄商-24抗逆基因VqbZIP39的应用</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 xml:space="preserve">ZL 201510522216.9 </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王西平</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发明专利</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一种基于相变固化土的夯土墙成型方法与装置</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ZL201611022233.7</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张勇</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发明专利</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一种基于张弦梁的夯土成型装置</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ZL201720683997.4</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张勇</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10</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一种悬挂内保温系统的超大跨度无立柱拱棚</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ZL201720948732.2</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张勇</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11</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一种风道蓄热试验台</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ZL201721171057.3</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张勇</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12</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一种承力结构结合种植系统的装配式温室</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ZL201820443938.4</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张勇</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13</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一种温室新型水体蓄热装置</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ZL201820168809.9</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李建明</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14</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一种大跨度大棚内保温幕装置</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ZL201820355463.3</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李建明</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15</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一种大跨度非对称双层塑料覆盖日光温室</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ZL201820168774.9</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李建明</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16</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一种温室大棚节能通风控制系统</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ZL201721206932.7</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张智</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17</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一种水热法提取茶多糖的方法</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ZL201610569828.8</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高岳芳</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发明专利</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18</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一种温室环境控制系统</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ZL201721162986.8</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苏春杰、张智</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一种种植槽具</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ZL201820555821.5</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李攀龙、程智慧</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20</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一种墙体式植物立体栽培装置</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ZL201820558585.2</w:t>
            </w:r>
          </w:p>
        </w:tc>
        <w:tc>
          <w:tcPr>
            <w:tcW w:w="1559" w:type="dxa"/>
            <w:vAlign w:val="center"/>
          </w:tcPr>
          <w:p>
            <w:pPr>
              <w:spacing w:line="240" w:lineRule="exact"/>
              <w:jc w:val="center"/>
              <w:rPr>
                <w:rFonts w:ascii="Times New Roman" w:hAnsi="Times New Roman" w:eastAsia="仿宋_GB2312" w:cs="Times New Roman"/>
                <w:color w:val="000000" w:themeColor="text1"/>
                <w:kern w:val="0"/>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李攀龙、程智慧</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实用新型</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0"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21</w:t>
            </w:r>
          </w:p>
        </w:tc>
        <w:tc>
          <w:tcPr>
            <w:tcW w:w="5410" w:type="dxa"/>
            <w:vAlign w:val="center"/>
          </w:tcPr>
          <w:p>
            <w:pPr>
              <w:widowControl/>
              <w:jc w:val="left"/>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一种猕猴桃果园改造方法</w:t>
            </w:r>
          </w:p>
        </w:tc>
        <w:tc>
          <w:tcPr>
            <w:tcW w:w="2552"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ZL 2015 1 0633374.1</w:t>
            </w:r>
          </w:p>
        </w:tc>
        <w:tc>
          <w:tcPr>
            <w:tcW w:w="1559" w:type="dxa"/>
            <w:vAlign w:val="center"/>
          </w:tcPr>
          <w:p>
            <w:pPr>
              <w:spacing w:line="240" w:lineRule="exact"/>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中国</w:t>
            </w:r>
          </w:p>
        </w:tc>
        <w:tc>
          <w:tcPr>
            <w:tcW w:w="1559"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刘艳飞、刘占德</w:t>
            </w:r>
          </w:p>
        </w:tc>
        <w:tc>
          <w:tcPr>
            <w:tcW w:w="1248" w:type="dxa"/>
            <w:vAlign w:val="center"/>
          </w:tcPr>
          <w:p>
            <w:pPr>
              <w:widowControl/>
              <w:jc w:val="center"/>
              <w:textAlignment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kern w:val="0"/>
                <w:sz w:val="20"/>
                <w:szCs w:val="20"/>
              </w:rPr>
              <w:t>发明专利</w:t>
            </w:r>
          </w:p>
        </w:tc>
        <w:tc>
          <w:tcPr>
            <w:tcW w:w="1249" w:type="dxa"/>
            <w:vAlign w:val="center"/>
          </w:tcPr>
          <w:p>
            <w:pPr>
              <w:spacing w:line="240" w:lineRule="exact"/>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独立完成</w:t>
            </w:r>
          </w:p>
        </w:tc>
      </w:tr>
    </w:tbl>
    <w:p>
      <w:pPr>
        <w:spacing w:line="300" w:lineRule="exact"/>
        <w:ind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color w:val="000000" w:themeColor="text1"/>
          <w:szCs w:val="21"/>
        </w:rPr>
        <w:t>注：（1）国内外同内容的专利不得重复统计。（2）</w:t>
      </w:r>
      <w:r>
        <w:rPr>
          <w:rFonts w:ascii="Times New Roman" w:hAnsi="Times New Roman" w:eastAsia="楷体" w:cs="Times New Roman"/>
          <w:bCs/>
          <w:color w:val="000000" w:themeColor="text1"/>
          <w:szCs w:val="21"/>
        </w:rPr>
        <w:t>专利：</w:t>
      </w:r>
      <w:r>
        <w:rPr>
          <w:rFonts w:ascii="Times New Roman" w:hAnsi="Times New Roman" w:eastAsia="楷体" w:cs="Times New Roman"/>
          <w:color w:val="000000" w:themeColor="text1"/>
          <w:szCs w:val="21"/>
        </w:rPr>
        <w:t>批准的发明专利，以证书为准。（3）</w:t>
      </w:r>
      <w:r>
        <w:rPr>
          <w:rFonts w:ascii="Times New Roman" w:hAnsi="Times New Roman" w:eastAsia="楷体" w:cs="Times New Roman"/>
          <w:bCs/>
          <w:color w:val="000000" w:themeColor="text1"/>
          <w:szCs w:val="21"/>
        </w:rPr>
        <w:t>完成人：</w:t>
      </w:r>
      <w:r>
        <w:rPr>
          <w:rFonts w:ascii="Times New Roman" w:hAnsi="Times New Roman" w:eastAsia="楷体" w:cs="Times New Roman"/>
          <w:color w:val="000000" w:themeColor="text1"/>
          <w:szCs w:val="21"/>
        </w:rPr>
        <w:t>所有完成人，排序以证书为准。（4）</w:t>
      </w:r>
      <w:r>
        <w:rPr>
          <w:rFonts w:ascii="Times New Roman" w:hAnsi="Times New Roman" w:eastAsia="楷体" w:cs="Times New Roman"/>
          <w:bCs/>
          <w:color w:val="000000" w:themeColor="text1"/>
          <w:szCs w:val="21"/>
        </w:rPr>
        <w:t>类型：</w:t>
      </w:r>
      <w:r>
        <w:rPr>
          <w:rFonts w:ascii="Times New Roman" w:hAnsi="Times New Roman" w:eastAsia="楷体" w:cs="Times New Roman"/>
          <w:color w:val="000000" w:themeColor="text1"/>
          <w:szCs w:val="21"/>
        </w:rPr>
        <w:t>其它等同于发明专利的成果，如新药、软件、标准、规范等，在类型栏中标明。（5）</w:t>
      </w:r>
      <w:r>
        <w:rPr>
          <w:rFonts w:ascii="Times New Roman" w:hAnsi="Times New Roman" w:eastAsia="楷体" w:cs="Times New Roman"/>
          <w:bCs/>
          <w:color w:val="000000" w:themeColor="text1"/>
          <w:szCs w:val="21"/>
        </w:rPr>
        <w:t>类别：</w:t>
      </w:r>
      <w:r>
        <w:rPr>
          <w:rFonts w:ascii="Times New Roman" w:hAnsi="Times New Roman" w:eastAsia="楷体" w:cs="Times New Roman"/>
          <w:color w:val="000000" w:themeColor="text1"/>
          <w:szCs w:val="21"/>
        </w:rPr>
        <w:t>分四种，独立完成、合作完成—第一人、合作完成—第二人、合作完成—其它。如果成果全部由示范中心固定人员完成的则为独立完成。如果成果由示范中心与其它单位合作完成，第一完成人是示范中心固定人员则为合作完成—第一人；第二完成人是示范中心固定人员则为合作完成—第二人，第三及以后完成人是示范中心固定人员则为合作完成—其它。（以下类同）</w:t>
      </w:r>
    </w:p>
    <w:p>
      <w:pPr>
        <w:widowControl/>
        <w:jc w:val="left"/>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br w:type="page"/>
      </w:r>
    </w:p>
    <w:p>
      <w:pPr>
        <w:spacing w:before="156" w:beforeLines="50" w:after="156" w:afterLines="50"/>
        <w:ind w:firstLine="480" w:firstLineChars="200"/>
        <w:rPr>
          <w:rFonts w:hint="eastAsia"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2</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发表论文、专著情况</w:t>
      </w:r>
    </w:p>
    <w:tbl>
      <w:tblPr>
        <w:tblStyle w:val="22"/>
        <w:tblW w:w="13878" w:type="dxa"/>
        <w:tblInd w:w="0" w:type="dxa"/>
        <w:tblLayout w:type="fixed"/>
        <w:tblCellMar>
          <w:top w:w="0" w:type="dxa"/>
          <w:left w:w="108" w:type="dxa"/>
          <w:bottom w:w="0" w:type="dxa"/>
          <w:right w:w="108" w:type="dxa"/>
        </w:tblCellMar>
      </w:tblPr>
      <w:tblGrid>
        <w:gridCol w:w="675"/>
        <w:gridCol w:w="5496"/>
        <w:gridCol w:w="1177"/>
        <w:gridCol w:w="2445"/>
        <w:gridCol w:w="2370"/>
        <w:gridCol w:w="766"/>
        <w:gridCol w:w="949"/>
      </w:tblGrid>
      <w:tr>
        <w:tblPrEx>
          <w:tblLayout w:type="fixed"/>
          <w:tblCellMar>
            <w:top w:w="0" w:type="dxa"/>
            <w:left w:w="108" w:type="dxa"/>
            <w:bottom w:w="0" w:type="dxa"/>
            <w:right w:w="108" w:type="dxa"/>
          </w:tblCellMar>
        </w:tblPrEx>
        <w:trPr>
          <w:trHeight w:val="1217" w:hRule="atLeast"/>
          <w:tblHead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54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论文或专著名称</w:t>
            </w:r>
          </w:p>
        </w:tc>
        <w:tc>
          <w:tcPr>
            <w:tcW w:w="117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作者</w:t>
            </w:r>
          </w:p>
        </w:tc>
        <w:tc>
          <w:tcPr>
            <w:tcW w:w="24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刊物、出版社名称</w:t>
            </w:r>
          </w:p>
        </w:tc>
        <w:tc>
          <w:tcPr>
            <w:tcW w:w="23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xml:space="preserve"> 卷、期（或章节）、页</w:t>
            </w:r>
          </w:p>
        </w:tc>
        <w:tc>
          <w:tcPr>
            <w:tcW w:w="7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类型</w:t>
            </w:r>
          </w:p>
        </w:tc>
        <w:tc>
          <w:tcPr>
            <w:tcW w:w="9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类别</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Characterization of the Chloroplast Genome Sequence of Acer miaotaiense: Comparative and Phylogenetic Analyses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赵建涛</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Molecules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23, 1740; doi:10.3390/molecules23071740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identification of genes involved in polyamine biosynthesis and the role of exogenous polyamines in Malus hupehensis Rehd. under alkaline stress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龚小庆、豆芳芳</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Gene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669: 52-62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Water requirement characteristics and the optimal irrigation schedule for the growth, yield, and fruit quality of watermelon under plastic film mulching</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李好</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Scientia Horticulturae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241: 74–82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Identification and expression analyses of WRKY genes reveal their involvement in growth and abiotic stress response in watermelon (Citrullus lanatus)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杨小振</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PLOS ONE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2018，13(1): e0191308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The gymnosperm ortholog of the angiosperm central cell‐specification gene CKI1 provides an essential clue to endosperm origin</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袁黎</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New Phytologist</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Volume 218， Issue4，page 1685-1696，2018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Effects of quercetin on postharvest blue mold control in kiwifruit</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张美丽</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Scientia Horticulturae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2018,228,11:18-25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27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Ectopic expression of FvWRKY42, a WRKY transcription factor from the diploid woodland strawberry (Fragaria vesca), enhances resistance to powdery mildew, improves osmotic stress resistance, and increases abscisic acid sensitivity in Arabidopsis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未魏（学生）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2018,275: 60-74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Ectopic expression of Arabidopsis broad-spectrum resistance gene RPW8.2 improves the resistance to powdery mildew in grapevine (Vitis vinifera)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胡洋（学生）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2018,267: 20–31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Down-Regulation of PpBGAL10 and PpBGAL16 Delays Fruit Softening in Peach by Reducing Polygalacturonase and Pectin Methylesterase Activity</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刘航空</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Frontiers in 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2018,9，10.3389/fpls.01015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Combining thermotherapy with cryotherapy for efficient eradication of Apple stem grooving virus  from infected in-vitro-cultured apple shoots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Lei Zhao、Min-Rui Wang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Disease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102（8）: 1574-1580.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In vitro thermotherapy-based methods for plant virus eradication</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Min-Rui Wang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Methods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14:87, doi.org/10.1186/s13007-018-0355-y</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Cryopreservation of virus: a novel biotechnology for long-term preservation of virus in shoot tips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Min-Rui Wang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Methods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14:（47）,doi.org/10.1186/s13007-018-0312-9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Long-term preservation of potato leafroll virus, potato virus S and potato spindle tuber viroid in cryopreserved shoot tips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Jing-Wei Li</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Applied Microbiology and Biotechnology.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2018,102（24）:10743-10754 doi.org/10.1007/s00253-018-9405-7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Shoot tip cryotherapy for efficient eradication of Grapevine leafroll-associated virus-3 (GLRaV-3) from diseased in vitro plants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Wen-Lu Bi</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Annals of Applied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173（3）:261-270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Cryobiotechnology of apple (Malus spp.): development, progress and future prospects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Min-Rui Wang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Cell Reports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37（5）: 689–709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In vitro regeneration of adventitious buds from leaf explants and their subsequent cryopreservation in highbush blueberry</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Hai-Yan Chen</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Cell, Tissue and Organ Culture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134（2）:193–204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Virus infection reduces shoot proliferation of in vitro stock cultures and ability of cryopreserved shoot tips to regenerate into normal shoots in ‘Gala’ apple (Malus × domestica)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Min-Rui Wang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Cryobiology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84: 52–58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Cryobiotechnology of forest trees: recent advances and future prospects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Jing-Wei Li</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Biodiversity and Conservation.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27（4）:795–814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Droplet-vitrification cryopreservation of in vitro-grown shoot tips of  grapevine (Vitis spp.)</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Wen-Lu Bi</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In Vitro cellular &amp; Developmental Biology-Plant.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2018,54（6）： DOI: 10.1007/s11627-018-9931-0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Growth, microtuber production and physiological metabolism in virus-free and virus-infected potato in vitro plantlets grown under NaCl-induced salt stress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Jing-Wei Li</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European Journal of Plant Pathology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152（2）:417-432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Cryopreservation of small leaf squares-bearing adventitious buds of Lilium Oriental hybrid ‘Siberia’ by vitrification</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Chen Pan</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Cell, Tissue and Organ Culture.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2018,133（1）:159–164.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Isolation and functional characterization of CsLsi2, a cucumber silicon efflux transporter gene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孙昊</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annals of botany,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122(4): 641-648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Identification, Classification,Molecular Evolution and Expression Analysis of Malate Dehydrogenases in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马百全</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 J. Mol. Sci.</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19（11）, 3312; doi:10.3390/ijms19113312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Effects of epigallocatechin-3-gallate (EGCG) on skin greasiness and related gene expression in 'Jonagold' apple fruit during ambient storage.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闫丹</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Postharvest Biology and Technology,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2018,143: 28-34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Biochemical and functional characterization of AcUFGT3a, a galactosyltransferase involved in anthocyanin biosynthesis in the red-fleshed kiwifruit (Actinidia chinensis).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刘艳飞</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Physiologia Plantarum,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Apr;162(4):409-426.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Exogenous niacin treatment increases NADPH oxidase in kiwifruit</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朱先博</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BRAZILIAN JOURNAL OF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,2018,78(4):644-652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Molecular</w:t>
            </w:r>
            <w:r>
              <w:rPr>
                <w:rFonts w:hint="eastAsia" w:ascii="宋体" w:hAnsi="宋体" w:eastAsia="宋体" w:cs="宋体"/>
                <w:color w:val="000000"/>
                <w:kern w:val="0"/>
                <w:szCs w:val="21"/>
              </w:rPr>
              <w:t> </w:t>
            </w:r>
            <w:r>
              <w:rPr>
                <w:rFonts w:hint="eastAsia" w:ascii="仿宋" w:hAnsi="仿宋" w:eastAsia="仿宋" w:cs="宋体"/>
                <w:color w:val="000000"/>
                <w:kern w:val="0"/>
                <w:szCs w:val="21"/>
              </w:rPr>
              <w:t>role</w:t>
            </w:r>
            <w:r>
              <w:rPr>
                <w:rFonts w:hint="eastAsia" w:ascii="宋体" w:hAnsi="宋体" w:eastAsia="宋体" w:cs="宋体"/>
                <w:color w:val="000000"/>
                <w:kern w:val="0"/>
                <w:szCs w:val="21"/>
              </w:rPr>
              <w:t> </w:t>
            </w:r>
            <w:r>
              <w:rPr>
                <w:rFonts w:hint="eastAsia" w:ascii="仿宋" w:hAnsi="仿宋" w:eastAsia="仿宋" w:cs="宋体"/>
                <w:color w:val="000000"/>
                <w:kern w:val="0"/>
                <w:szCs w:val="21"/>
              </w:rPr>
              <w:t>of</w:t>
            </w:r>
            <w:r>
              <w:rPr>
                <w:rFonts w:hint="eastAsia" w:ascii="宋体" w:hAnsi="宋体" w:eastAsia="宋体" w:cs="宋体"/>
                <w:color w:val="000000"/>
                <w:kern w:val="0"/>
                <w:szCs w:val="21"/>
              </w:rPr>
              <w:t> </w:t>
            </w:r>
            <w:r>
              <w:rPr>
                <w:rFonts w:hint="eastAsia" w:ascii="仿宋" w:hAnsi="仿宋" w:eastAsia="仿宋" w:cs="宋体"/>
                <w:color w:val="000000"/>
                <w:kern w:val="0"/>
                <w:szCs w:val="21"/>
              </w:rPr>
              <w:t>cytokinin</w:t>
            </w:r>
            <w:r>
              <w:rPr>
                <w:rFonts w:hint="eastAsia" w:ascii="宋体" w:hAnsi="宋体" w:eastAsia="宋体" w:cs="宋体"/>
                <w:color w:val="000000"/>
                <w:kern w:val="0"/>
                <w:szCs w:val="21"/>
              </w:rPr>
              <w:t> </w:t>
            </w:r>
            <w:r>
              <w:rPr>
                <w:rFonts w:hint="eastAsia" w:ascii="仿宋" w:hAnsi="仿宋" w:eastAsia="仿宋" w:cs="宋体"/>
                <w:color w:val="000000"/>
                <w:kern w:val="0"/>
                <w:szCs w:val="21"/>
              </w:rPr>
              <w:t>in</w:t>
            </w:r>
            <w:r>
              <w:rPr>
                <w:rFonts w:hint="eastAsia" w:ascii="宋体" w:hAnsi="宋体" w:eastAsia="宋体" w:cs="宋体"/>
                <w:color w:val="000000"/>
                <w:kern w:val="0"/>
                <w:szCs w:val="21"/>
              </w:rPr>
              <w:t> </w:t>
            </w:r>
            <w:r>
              <w:rPr>
                <w:rFonts w:hint="eastAsia" w:ascii="仿宋" w:hAnsi="仿宋" w:eastAsia="仿宋" w:cs="宋体"/>
                <w:color w:val="000000"/>
                <w:kern w:val="0"/>
                <w:szCs w:val="21"/>
              </w:rPr>
              <w:t>bud</w:t>
            </w:r>
            <w:r>
              <w:rPr>
                <w:rFonts w:hint="eastAsia" w:ascii="宋体" w:hAnsi="宋体" w:eastAsia="宋体" w:cs="宋体"/>
                <w:color w:val="000000"/>
                <w:kern w:val="0"/>
                <w:szCs w:val="21"/>
              </w:rPr>
              <w:t> </w:t>
            </w:r>
            <w:r>
              <w:rPr>
                <w:rFonts w:hint="eastAsia" w:ascii="仿宋" w:hAnsi="仿宋" w:eastAsia="仿宋" w:cs="宋体"/>
                <w:color w:val="000000"/>
                <w:kern w:val="0"/>
                <w:szCs w:val="21"/>
              </w:rPr>
              <w:t>activation</w:t>
            </w:r>
            <w:r>
              <w:rPr>
                <w:rFonts w:hint="eastAsia" w:ascii="宋体" w:hAnsi="宋体" w:eastAsia="宋体" w:cs="宋体"/>
                <w:color w:val="000000"/>
                <w:kern w:val="0"/>
                <w:szCs w:val="21"/>
              </w:rPr>
              <w:t> </w:t>
            </w:r>
            <w:r>
              <w:rPr>
                <w:rFonts w:hint="eastAsia" w:ascii="仿宋" w:hAnsi="仿宋" w:eastAsia="仿宋" w:cs="宋体"/>
                <w:color w:val="000000"/>
                <w:kern w:val="0"/>
                <w:szCs w:val="21"/>
              </w:rPr>
              <w:t>and</w:t>
            </w:r>
            <w:r>
              <w:rPr>
                <w:rFonts w:hint="eastAsia" w:ascii="宋体" w:hAnsi="宋体" w:eastAsia="宋体" w:cs="宋体"/>
                <w:color w:val="000000"/>
                <w:kern w:val="0"/>
                <w:szCs w:val="21"/>
              </w:rPr>
              <w:t> </w:t>
            </w:r>
            <w:r>
              <w:rPr>
                <w:rFonts w:hint="eastAsia" w:ascii="仿宋" w:hAnsi="仿宋" w:eastAsia="仿宋" w:cs="宋体"/>
                <w:color w:val="000000"/>
                <w:kern w:val="0"/>
                <w:szCs w:val="21"/>
              </w:rPr>
              <w:t xml:space="preserve">outgrowth </w:t>
            </w:r>
            <w:r>
              <w:rPr>
                <w:rFonts w:hint="eastAsia" w:ascii="宋体" w:hAnsi="宋体" w:eastAsia="宋体" w:cs="宋体"/>
                <w:color w:val="000000"/>
                <w:kern w:val="0"/>
                <w:szCs w:val="21"/>
              </w:rPr>
              <w:t> </w:t>
            </w:r>
            <w:r>
              <w:rPr>
                <w:rFonts w:hint="eastAsia" w:ascii="仿宋" w:hAnsi="仿宋" w:eastAsia="仿宋" w:cs="宋体"/>
                <w:color w:val="000000"/>
                <w:kern w:val="0"/>
                <w:szCs w:val="21"/>
              </w:rPr>
              <w:t>in</w:t>
            </w:r>
            <w:r>
              <w:rPr>
                <w:rFonts w:hint="eastAsia" w:ascii="宋体" w:hAnsi="宋体" w:eastAsia="宋体" w:cs="宋体"/>
                <w:color w:val="000000"/>
                <w:kern w:val="0"/>
                <w:szCs w:val="21"/>
              </w:rPr>
              <w:t> </w:t>
            </w:r>
            <w:r>
              <w:rPr>
                <w:rFonts w:hint="eastAsia" w:ascii="仿宋" w:hAnsi="仿宋" w:eastAsia="仿宋" w:cs="宋体"/>
                <w:color w:val="000000"/>
                <w:kern w:val="0"/>
                <w:szCs w:val="21"/>
              </w:rPr>
              <w:t>apple</w:t>
            </w:r>
            <w:r>
              <w:rPr>
                <w:rFonts w:hint="eastAsia" w:ascii="宋体" w:hAnsi="宋体" w:eastAsia="宋体" w:cs="宋体"/>
                <w:color w:val="000000"/>
                <w:kern w:val="0"/>
                <w:szCs w:val="21"/>
              </w:rPr>
              <w:t> </w:t>
            </w:r>
            <w:r>
              <w:rPr>
                <w:rFonts w:hint="eastAsia" w:ascii="仿宋" w:hAnsi="仿宋" w:eastAsia="仿宋" w:cs="宋体"/>
                <w:color w:val="000000"/>
                <w:kern w:val="0"/>
                <w:szCs w:val="21"/>
              </w:rPr>
              <w:t>branching</w:t>
            </w:r>
            <w:r>
              <w:rPr>
                <w:rFonts w:hint="eastAsia" w:ascii="宋体" w:hAnsi="宋体" w:eastAsia="宋体" w:cs="宋体"/>
                <w:color w:val="000000"/>
                <w:kern w:val="0"/>
                <w:szCs w:val="21"/>
              </w:rPr>
              <w:t> </w:t>
            </w:r>
            <w:r>
              <w:rPr>
                <w:rFonts w:hint="eastAsia" w:ascii="仿宋" w:hAnsi="仿宋" w:eastAsia="仿宋" w:cs="宋体"/>
                <w:color w:val="000000"/>
                <w:kern w:val="0"/>
                <w:szCs w:val="21"/>
              </w:rPr>
              <w:t>based</w:t>
            </w:r>
            <w:r>
              <w:rPr>
                <w:rFonts w:hint="eastAsia" w:ascii="宋体" w:hAnsi="宋体" w:eastAsia="宋体" w:cs="宋体"/>
                <w:color w:val="000000"/>
                <w:kern w:val="0"/>
                <w:szCs w:val="21"/>
              </w:rPr>
              <w:t> </w:t>
            </w:r>
            <w:r>
              <w:rPr>
                <w:rFonts w:hint="eastAsia" w:ascii="仿宋" w:hAnsi="仿宋" w:eastAsia="仿宋" w:cs="宋体"/>
                <w:color w:val="000000"/>
                <w:kern w:val="0"/>
                <w:szCs w:val="21"/>
              </w:rPr>
              <w:t>on</w:t>
            </w:r>
            <w:r>
              <w:rPr>
                <w:rFonts w:hint="eastAsia" w:ascii="宋体" w:hAnsi="宋体" w:eastAsia="宋体" w:cs="宋体"/>
                <w:color w:val="000000"/>
                <w:kern w:val="0"/>
                <w:szCs w:val="21"/>
              </w:rPr>
              <w:t> </w:t>
            </w:r>
            <w:r>
              <w:rPr>
                <w:rFonts w:hint="eastAsia" w:ascii="仿宋" w:hAnsi="仿宋" w:eastAsia="仿宋" w:cs="宋体"/>
                <w:color w:val="000000"/>
                <w:kern w:val="0"/>
                <w:szCs w:val="21"/>
              </w:rPr>
              <w:t>transcriptomic</w:t>
            </w:r>
            <w:r>
              <w:rPr>
                <w:rFonts w:hint="eastAsia" w:ascii="宋体" w:hAnsi="宋体" w:eastAsia="宋体" w:cs="宋体"/>
                <w:color w:val="000000"/>
                <w:kern w:val="0"/>
                <w:szCs w:val="21"/>
              </w:rPr>
              <w:t> </w:t>
            </w:r>
            <w:r>
              <w:rPr>
                <w:rFonts w:hint="eastAsia" w:ascii="仿宋" w:hAnsi="仿宋" w:eastAsia="仿宋" w:cs="宋体"/>
                <w:color w:val="000000"/>
                <w:kern w:val="0"/>
                <w:szCs w:val="21"/>
              </w:rPr>
              <w:t>analysis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李国防</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molecular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98（3）：261-274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Ethylene responsive factor ERF110 mediates ethylene-regulated transcription of a sex determination-related orthologous gene in two Cucumis species.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陶倩怡、牛欢欢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Journal of Experimental Botany,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69(12)： 2953-2965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Exogenous GABA application improves the NO3--N absorption and assimilation in Ca(NO3)2-treated muskmelon seedlings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甄爱</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Scientia Horticulturae，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227（1）117-123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Changes in root architecture and endogenous hormone levels in two Malus rootstocks under alkali stress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文田、董丽娟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Scientia Horticulturae,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235:198-204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Complete Chloroplast Genome Sequence Of Prunus Davidiana (Rosaceae)；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张鑫</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MITOCHONDRIAL DNA PART B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VOL. 3, NO. 2, 890–891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Complete Chloroplast Genome Sequence of Malus hupehensis: Genome Structure, Comparative Analysis,and Phylogenetic Relationships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张鑫</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Molecules；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23（11）, 2917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iTRAQ-Based Proteomic Analysis Reveals Potential Regulation Networks of IBA-Induced Adventitious Root Formation in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雷超</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International journal of molecular sciences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19（3):667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Transcriptome Analysis Reveals Multiple Hormones, Wounding and Sugar Signaling Pathways Mediate Adventitious Root Formation in Apple Rootstock.</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李珂</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International journal of molecular sciences,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,19（8）：1-28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The effect of promoter methylation on MdMYB1 expression determines the level of anthocyanin accumulation in skins of two non-red apple cultivars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Changqing Ma</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BMC Plant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2018,18:108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Transcriptome profiling reveals transcriptional regulation by DNA methyltransferase inhibitor 5-aza-2'-deoxycytidine enhancing red pigmentation in bagged ‘Granny Smith’ apples (Malusdomestica)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Changqing Ma</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International Journal of Molecular Sciences,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19（10）, 3133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Analysis of β-Galactosidase During Fruit Development and Ripening in Two Different Texture Types of Apple Cultivars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Huijuan Yang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Frontiers in Plant Science,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2018,9:539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Characterization of the complete chloroplast genome of the Chinese cherry Prunus pseudocerasus (Rosaceae)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Ying Feng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Conservation Genetics Resources,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10（1）:85-88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Role of Brassinosteroids in Persimmon (Diospyros kaki L.) Fruit Ripening.</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何宜恒</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Agricultural and Food Chemistry，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2018,66（11）:2637-2644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Functional characterization of persimmon β- tomato reveals cell wall modification related to fruit ripening and radiclegalactosidase gene DkGAL1 in elongation</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班秋妍</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2018,274:109-120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Oxalic acid and 1-methylcyclopropene alleviate chilling injury of ‘Youhou’ sweet persimmon during cold storage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李佳颖</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Postharvest Biology and Technology，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2018,137:134-141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Overexpression of</w:t>
            </w:r>
            <w:r>
              <w:rPr>
                <w:rFonts w:hint="eastAsia" w:ascii="宋体" w:hAnsi="宋体" w:eastAsia="宋体" w:cs="宋体"/>
                <w:color w:val="000000"/>
                <w:kern w:val="0"/>
                <w:szCs w:val="21"/>
              </w:rPr>
              <w:t> </w:t>
            </w:r>
            <w:r>
              <w:rPr>
                <w:rFonts w:hint="eastAsia" w:ascii="仿宋" w:hAnsi="仿宋" w:eastAsia="仿宋" w:cs="宋体"/>
                <w:color w:val="000000"/>
                <w:kern w:val="0"/>
                <w:szCs w:val="21"/>
              </w:rPr>
              <w:t>persimmon 9-lipoxygenase DkLOX3 confers resistance to</w:t>
            </w:r>
            <w:r>
              <w:rPr>
                <w:rFonts w:hint="eastAsia" w:ascii="宋体" w:hAnsi="宋体" w:eastAsia="宋体" w:cs="宋体"/>
                <w:color w:val="000000"/>
                <w:kern w:val="0"/>
                <w:szCs w:val="21"/>
              </w:rPr>
              <w:t> </w:t>
            </w:r>
            <w:r>
              <w:rPr>
                <w:rFonts w:hint="eastAsia" w:ascii="仿宋" w:hAnsi="仿宋" w:eastAsia="仿宋" w:cs="宋体"/>
                <w:color w:val="000000"/>
                <w:kern w:val="0"/>
                <w:szCs w:val="21"/>
              </w:rPr>
              <w:t>Pseudomonas syringae pv. tomato DC3000 and</w:t>
            </w:r>
            <w:r>
              <w:rPr>
                <w:rFonts w:hint="eastAsia" w:ascii="宋体" w:hAnsi="宋体" w:eastAsia="宋体" w:cs="宋体"/>
                <w:color w:val="000000"/>
                <w:kern w:val="0"/>
                <w:szCs w:val="21"/>
              </w:rPr>
              <w:t> </w:t>
            </w:r>
            <w:r>
              <w:rPr>
                <w:rFonts w:hint="eastAsia" w:ascii="仿宋" w:hAnsi="仿宋" w:eastAsia="仿宋" w:cs="宋体"/>
                <w:color w:val="000000"/>
                <w:kern w:val="0"/>
                <w:szCs w:val="21"/>
              </w:rPr>
              <w:t>Botrytis cinerea in</w:t>
            </w:r>
            <w:r>
              <w:rPr>
                <w:rFonts w:hint="eastAsia" w:ascii="宋体" w:hAnsi="宋体" w:eastAsia="宋体" w:cs="宋体"/>
                <w:color w:val="000000"/>
                <w:kern w:val="0"/>
                <w:szCs w:val="21"/>
              </w:rPr>
              <w:t> </w:t>
            </w:r>
            <w:r>
              <w:rPr>
                <w:rFonts w:hint="eastAsia" w:ascii="仿宋" w:hAnsi="仿宋" w:eastAsia="仿宋" w:cs="宋体"/>
                <w:color w:val="000000"/>
                <w:kern w:val="0"/>
                <w:szCs w:val="21"/>
              </w:rPr>
              <w:t>Arabidopsis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候亚莉</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Growth Regul，</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2018,84（1）179-189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Characteristics of chilling injury-induced lignification in kiwifruit with different sensitivities to low temperatures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索江涛</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Postharvest Biology and Technology，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2018,135:8-18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Melatonin limited ethylene production, softening and reduced physiology disorder in pear (Pyrus communis L.) fruit during senescence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翟锐、刘建龙</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POSTHARVEST BIOLOGY AND TECHNOLOGY.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2018，139:38-46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Melatonin Induces Parthenocarpy by Regulating Genes in Gibberellin Pathways of 'Starkrimson' Pear (Pyrus communis L.)</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刘建龙（Liu JL）</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FRONTIERS IN 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9: 946, DOI: 10.3389/fpls.2018.00946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Histological, hormonal and transcriptomic reveal the changes upon gibberellin-induced parthenocarpy in pear fruit.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刘璐璐、王志刚、刘建龙</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 HORTICULTURE RESEARCH.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2018，5，DOI: 10.1038/s41438-017-0012-z</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The phenylpropanoid pathway affects apple fruit resistance to Botrytis cinerea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Ma Lijing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Phytopathology,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2018,166（3）:206-215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An Atypical R2R3 MYB Transcription Factor Increases Cold Hardiness by CBF-Dependent and CBF-Independent Pathways in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谢银鹏</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New Phytologist,</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2018，218 (1): 201-218.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MdMYB88 and MdMYB124 Enhance Drought Tolerance by Modulating Root Vessels and Cell Walls in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耿达立</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Physiology,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2018，178(3):1296-1309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Phenolic compounds as biochemical markers of senescence in woody ornamental flowers of Malus crabapple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Rehman, Rana Naveed Ur</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HORTICULTURE ENVIRONMENT AND BIOTECHNOLOGY，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2018,卷: 59  期: 1  页: 1-10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Characterization of quercetin and its glycoside derivatives in Malus germplasm</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Lei Zhang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HORTICULTURE ENVIRONMENT AND BIOTECHNOLOGY，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2018,卷: 59  期: 6  页: 909-917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MOLECULAR IDENTIFICATION AND FUNCTIONAL ANALYSIS OF BrbRI1 AS BRASSINOSTEROID RECEPTOR GENE IN BRASSICA RAPA</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SHUHUA HUANG（黄淑华）； HAO WANG（王昊）；SUFU GAN（甘肃富）</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Pakistan journal of botany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2018，50(1): 85-95.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Single-Base Methylome Analysis Reveals Dynamic Epigenomic Differences Associated with Water Deficit in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徐记迪</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Plant biotechnology journal,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(16)2 ：672-687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Identification, characterization and expression analysis of the VQ motif-containing gene family in tea plant (Camellia sinensis)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郭俊红（学）</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BMC Genomics，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2018,19:710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Identification, Classi</w:t>
            </w:r>
            <w:r>
              <w:rPr>
                <w:rFonts w:hint="eastAsia" w:ascii="MS Mincho" w:hAnsi="MS Mincho" w:eastAsia="MS Mincho" w:cs="宋体"/>
                <w:color w:val="000000"/>
                <w:kern w:val="0"/>
                <w:szCs w:val="21"/>
              </w:rPr>
              <w:t>ﬁ</w:t>
            </w:r>
            <w:r>
              <w:rPr>
                <w:rFonts w:hint="eastAsia" w:ascii="仿宋" w:hAnsi="仿宋" w:eastAsia="仿宋" w:cs="宋体"/>
                <w:color w:val="000000"/>
                <w:kern w:val="0"/>
                <w:szCs w:val="21"/>
              </w:rPr>
              <w:t>cation and Expression Analysis of the HSP Gene Superfamily in Tea Plant (Camellia sinensis)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陈江飞（学）</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International Journal of Molecular Sciences，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2018,19（9）:2633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Transcriptomic analysis reveals the molecular mechanisms of Camellia sinensis in response to salt stress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万思卿、王伟东</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Growth Regulation，</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2018，84(3):481-492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Ectopic expression of VpSTS29, a stilbene synthase gene from Vitis pseudoreticulata, indicates STS presence in cytosolic oil bodies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Ma, Fuli（马福利）</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Planta，</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2018,248(1):89-103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Vacuolar processing enzyme (VvβVPE) from Vitis vinifera, processes seed proteins during ovule development, and accelerates seed germination in VvβVPE heterologously over-expressed Arabidopsis.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Peijie Gong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 Plant Science.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274:420-431.  https://doi.org/10.1016/j.plantsci.2018.06.023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Genetic inter-Relationships among Chinese Wild Grapes based on SRAP Markers analyses.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Xutong Zhang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 Vitis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2018，57（ 4 ）: 151–157 .  DOI: 10.5073/vitis.2018.57.151-157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Gene cloning and expression analyses of WBC genes in the developing grapevine seeds.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TANG Yu-jin</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Integrative Agriculture (JIA)，</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17 (06): 1348-1359. doi: 10.1016/S2095-3119(17)61827-6.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Identification and characterization of histone modification gene family reveal their critical responses to flower induction in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Fan sheng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BMC Plant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Aug 20;18(1):173.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Revealing critical mechanisms of BR-mediated apple nursery tree growth using iTRAQ-based proteomic analysis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Zheng liwei</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Proteomics.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Feb 20;173:139-154.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identification and expression analysis of GRF genes regulating apple tree architecture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zheng liwei</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Tree Genetics &amp; Genomes.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，14（4）54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Effect of exogenous indole-3-butanoic acid (IBA) application on the morphology, hormone status, and gene expression of developing lateral roots in Malus hupehensis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Mao jiangping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Scientia Horticulturae.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FEB 17;232:112-120.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65</w:t>
            </w:r>
          </w:p>
        </w:tc>
        <w:tc>
          <w:tcPr>
            <w:tcW w:w="5496" w:type="dxa"/>
            <w:tcBorders>
              <w:top w:val="nil"/>
              <w:left w:val="nil"/>
              <w:bottom w:val="single" w:color="auto" w:sz="4" w:space="0"/>
              <w:right w:val="single" w:color="auto" w:sz="4" w:space="0"/>
            </w:tcBorders>
            <w:shd w:val="clear" w:color="auto" w:fill="auto"/>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 transcriptome analysis of two apple (Malus</w:t>
            </w:r>
            <w:r>
              <w:rPr>
                <w:rFonts w:ascii="Cambria Math" w:hAnsi="Cambria Math" w:eastAsia="仿宋" w:cs="Cambria Math"/>
                <w:color w:val="000000"/>
                <w:kern w:val="0"/>
                <w:szCs w:val="21"/>
              </w:rPr>
              <w:t> </w:t>
            </w:r>
            <w:r>
              <w:rPr>
                <w:rFonts w:hint="eastAsia" w:ascii="仿宋" w:hAnsi="仿宋" w:eastAsia="仿宋" w:cs="仿宋"/>
                <w:color w:val="000000"/>
                <w:kern w:val="0"/>
                <w:szCs w:val="21"/>
              </w:rPr>
              <w:t>×</w:t>
            </w:r>
            <w:r>
              <w:rPr>
                <w:rFonts w:ascii="Cambria Math" w:hAnsi="Cambria Math" w:eastAsia="仿宋" w:cs="Cambria Math"/>
                <w:color w:val="000000"/>
                <w:kern w:val="0"/>
                <w:szCs w:val="21"/>
              </w:rPr>
              <w:t> </w:t>
            </w:r>
            <w:r>
              <w:rPr>
                <w:rFonts w:hint="eastAsia" w:ascii="仿宋" w:hAnsi="仿宋" w:eastAsia="仿宋" w:cs="宋体"/>
                <w:color w:val="000000"/>
                <w:kern w:val="0"/>
                <w:szCs w:val="21"/>
              </w:rPr>
              <w:t>domestica) cultivars with different flowering abilities reveals a gene network module associated with floral transitions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Li youmei</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Scientia Horticulturae.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SEP 15;239:269-281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Identification and expression analysis of the IPT and CKX gene families during axillary bud outgrowth in apple (Malus domestica Borkh.)</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Tan Ming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Gene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Gene.2018 Apr 20;651:106-117.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 Identification of B-BOX Gene Family Members in Seven Rosaceae Species and Their Expression Analysis in Response to Flower Induction in Malus domestica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Abdullah Shalmani</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Molecules.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Jul 18;23(7).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analysis of carotenoid cleavage oxygenase genes and their responses to various phytohormones and abiotic stresses in apple (Malus domestica)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Chen hongfei</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Plant Physiology and Biochemistry,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FEB 123：81-93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VlbZIP30 of grapevine functions in dehydration tolerance via the abscisic acid core signaling pathway.</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涂明星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Horticulture Res,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5: 49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Expression of a grape VqSTS36 increased resistance to powdery mildew and osmotic stress in Arabidopsis but enhanced susceptibility to Botrytis cinerea in Arabidopsis and tomato.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黄丽</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 J. Mol. Sci.</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19（10）, 2985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The Multifunctional Role of Chitosan in Horticultural Crops; A Review.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Rahat Sharif, </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Molecules,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23（4）:872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Evolutionary and Expression Analysis of Vitis vinifera OFP Gene Family.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王莉</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Systematics and Evolution,</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304（8） : 995-1008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The grape VlWRKY3 gene promotes abiotic and biotic stress tolerance in transgenic Arabidopsis thaliana.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郭荣荣</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Front. Plant Sci.</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9:545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A SBP-box gene VpSBP16 from Chinese wild Vitis species improves salinity and drought stress tolerance in Arabidopsis.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侯宏敏</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Int. J. Mol. Sci.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19(4):940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Expression of Vitis amurensis VaERF20 in Arabidopsis thaliana Improves Resistance to Botrytis cinerea and Pseudomonas syringae pv.tomato DC3000.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王梦楠</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 J. Mol. Sci.</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19(3), 696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Heredities on fruit color and pigment content between green and purple fruits in tomato</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李方曼</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Scientia Horticulturae,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235: 391-396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Decreased number of locules and pericarp cell layers underlie smaller and ovoid fruit in tomato smaller fruit (sf) mutant</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张颜</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Botany,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96(12): 883-895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Fine mapping and candidate gene identification of the genic male</w:t>
            </w:r>
            <w:r>
              <w:rPr>
                <w:rFonts w:hint="eastAsia" w:ascii="仿宋" w:hAnsi="仿宋" w:eastAsia="仿宋" w:cs="宋体"/>
                <w:color w:val="000000"/>
                <w:kern w:val="0"/>
                <w:szCs w:val="21"/>
              </w:rPr>
              <w:noBreakHyphen/>
            </w:r>
            <w:r>
              <w:rPr>
                <w:rFonts w:hint="eastAsia" w:ascii="仿宋" w:hAnsi="仿宋" w:eastAsia="仿宋" w:cs="宋体"/>
                <w:color w:val="000000"/>
                <w:kern w:val="0"/>
                <w:szCs w:val="21"/>
              </w:rPr>
              <w:t>sterile gene ms3 in cabbage 51S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韩风庆</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Theoretical and Applied Genetics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2018,131（12）:2651-2661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RXLR effector diversity in Phytophthora infestans isolates determines recognition by potato resistance proteins; the case study AVR1 and R1</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杜羽</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STUDIES IN MYCOLOGY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89: 85–93 (2018)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Solanaceous exocyst subunits are involved in immunity to diverse plant pathogens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杜羽</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Journal of Experimental Botany,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Vol. 69, No. 3 pp. 655–666, 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GABA Enhances Muskmelon Chloroplast Antioxidants to Defense Salinity-Alkalinity Stress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陈红武</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Russian Journal of Plant Physiology,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65（5）： 674–679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Exogenous 5</w:t>
            </w:r>
            <w:r>
              <w:rPr>
                <w:rFonts w:hint="eastAsia" w:ascii="仿宋" w:hAnsi="仿宋" w:eastAsia="仿宋" w:cs="宋体"/>
                <w:color w:val="000000"/>
                <w:kern w:val="0"/>
                <w:szCs w:val="21"/>
              </w:rPr>
              <w:noBreakHyphen/>
            </w:r>
            <w:r>
              <w:rPr>
                <w:rFonts w:hint="eastAsia" w:ascii="仿宋" w:hAnsi="仿宋" w:eastAsia="仿宋" w:cs="宋体"/>
                <w:color w:val="000000"/>
                <w:kern w:val="0"/>
                <w:szCs w:val="21"/>
              </w:rPr>
              <w:t>aminolevulinic acid pretreatment ameliorates oxidativestress triggered by low</w:t>
            </w:r>
            <w:r>
              <w:rPr>
                <w:rFonts w:hint="eastAsia" w:ascii="仿宋" w:hAnsi="仿宋" w:eastAsia="仿宋" w:cs="宋体"/>
                <w:color w:val="000000"/>
                <w:kern w:val="0"/>
                <w:szCs w:val="21"/>
              </w:rPr>
              <w:noBreakHyphen/>
            </w:r>
            <w:r>
              <w:rPr>
                <w:rFonts w:hint="eastAsia" w:ascii="仿宋" w:hAnsi="仿宋" w:eastAsia="仿宋" w:cs="宋体"/>
                <w:color w:val="000000"/>
                <w:kern w:val="0"/>
                <w:szCs w:val="21"/>
              </w:rPr>
              <w:t>temperature stress of Solanum lycopersicum</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刘涛</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Acta Physiologiae Plantarum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2018，40（12）:210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SALICYLIC ACID COLLABORATES WITH GENE SILENCING TO TOMATO DEFENSE AGAINST TOMATO YELLOW LEAF CURL VIRUS (TYLCV)</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李云洲</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Pak. J. Bot.,</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50(5): 2041-2054, 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Analysis of DCL, AGO, and RDR Gene Families in Pepper (Capsicum Annuum L.)</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秦蕾</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International Journal of  Molecular Sciences.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19(4): 1038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Stomatal responses to long-term high vapor pressure deficits mediated most limitation of photosynthesis in tomatoes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杜清洁</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ACTA PHYSIOLOGIAE PLANTARUM，</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2018，40,8:149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H2O2 mediates ALA-induced glutathione and ascorbate accumulation in the perception and resistance to oxidative stress in Solanum lycopersicum at low temperatures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刘涛</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BMC PLANT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2018,18:34:00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Reducing the excessive evaporative demand improved photosynthesis capacity at low costs of irrigation via regulating water driving force and moderating plant water stress of two tomato cultivars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张大龙</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AGRICULTURAL WATER MANAGEMENT,</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2018，199:22-33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Effects of atmospheric and soil water status on photosynthesis and growth in tomato</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杜清洁</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SOIL AND ENVIRONMENT,</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2018，64,1:13-19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Irrigation at the level of evapotranspiration aids growth recovery and photosynthesis rate in tomato grown under chilling stress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刘国英</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ACTA PHYSIOLOGIAE PLANTARUM，</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2018，40,1:2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Effects of GeO2 on chlorophyll fluorescence and antioxidant enzymes in apple leaves under strong light</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Z.B. WANG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PHOTOSYNTHETICA,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56 (4): 1081-1092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Effects of drought stress on photosynthesis and photosynthetic electron transport chain in young apple tree leaves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Zhibo Wang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Biology Open</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7(11): 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Exposure to lower red to far-red light ratios improve tomato tolerance to salt stress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Kai Cao</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BMC Plant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2018,18：92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QTL Analysis for Downy Mildew Resistance in Cucumber Inbred Line PI 197088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Lixia Li</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disease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2018,102(07):1240-1245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Characterizing the transcriptome and microsatellite markers for almond ( Amygdalus communis L.) using the Illumina sequencing platform</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张林森</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 Hereditas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2017， 155（1）:14，DOI 10.1186/s41065-017-0049-x</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Variation in leaf color and combine effect of pigments on physiology and resistance to whitefly of pepper (Capsicum annuum L.)</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Cheng Guo-Xin</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Scientia Horticulturae,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229, 215-225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analysis of dirigent gene family in pepper (Capsicum annuum L.) and characterization of CaDIR7 in biotic and abiotic stresses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Khan Abid</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Scientific Reports,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2018,8:5500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27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Classification and Genome-Wide Analysis of Chitin-Binding Proteins Gene Family in Pepper (Capsicum annuum L.) and Abiotic Stresses and Hormonal ApplicationsTranscriptional Regulation to Phytophthora capsici</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Ali Muhammad</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International Journal of Molecular Sciences，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2018, 19, 2216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identification of the AP2/ERF transcription factor family in pepper (Capsicum annuum L.)</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Jin Jing-Hao</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Genome,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61(9): 663-674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Structure and expression analysis of the sucrose synthase gene family in apple.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Xiao-Lei Tong（学）</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Integrative Agriculture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17(4): 847-856, 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Increasing activity of MdFRK2, a high affinity fructokinase, leads to upregulation of sorbitol metabolism and downregulation of sucrose metabolism in apple leaves.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Yang Jingjing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Hortic Res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5:71 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Sugar metabolism and accumulation in the fruit of transgenic apple trees with decreased sorbitol synthesis.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李明军</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Hortic Res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5:60. 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27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The combination of arbuscular mycorrhizal fungi inoculation (Glomus versiforme) and 28-homobrassinolide spraying intervals improves growth by enhancing photosynthesis, nutrient absorption, and antioxidant system in cucumber (Cucumis sativus L.) under alinity</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Husain</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Ecology and Evolution,</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2018.8 (11):5724-5740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Bioassay evaluation of the potential allelopathic effects of garlic (Allium sativum L.) root exudates on lettuce and cucumber</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Haiyan Ding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Pakistan Journal of Botany,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2018,50</w:t>
            </w:r>
            <w:r>
              <w:rPr>
                <w:rFonts w:hint="eastAsia" w:ascii="宋体" w:hAnsi="宋体" w:eastAsia="宋体" w:cs="宋体"/>
                <w:color w:val="000000"/>
                <w:kern w:val="0"/>
                <w:szCs w:val="21"/>
              </w:rPr>
              <w:t> </w:t>
            </w:r>
            <w:r>
              <w:rPr>
                <w:rFonts w:hint="eastAsia" w:ascii="仿宋" w:hAnsi="仿宋" w:eastAsia="仿宋" w:cs="宋体"/>
                <w:color w:val="000000"/>
                <w:kern w:val="0"/>
                <w:szCs w:val="21"/>
              </w:rPr>
              <w:t>(1)</w:t>
            </w:r>
            <w:r>
              <w:rPr>
                <w:rFonts w:hint="eastAsia" w:ascii="宋体" w:hAnsi="宋体" w:eastAsia="宋体" w:cs="宋体"/>
                <w:color w:val="000000"/>
                <w:kern w:val="0"/>
                <w:szCs w:val="21"/>
              </w:rPr>
              <w:t> </w:t>
            </w:r>
            <w:r>
              <w:rPr>
                <w:rFonts w:hint="eastAsia" w:ascii="仿宋" w:hAnsi="仿宋" w:eastAsia="仿宋" w:cs="宋体"/>
                <w:color w:val="000000"/>
                <w:kern w:val="0"/>
                <w:szCs w:val="21"/>
              </w:rPr>
              <w:t>:371-380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Dynamics of a soil fungal community in a three-year green garlic/cucumber crop rotation system in Northwest China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Haiyan Ding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Sustainability,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2018,10(5):1391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Aqueous garlic extract as a plant biostimulant enhances physiology, improves crop quality and metabolite abundance, and primes the defense responses of receiver plants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Sikandar Hayat</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Applied Sciences,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2018,8(9).DOI: 10.3390/app8091505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Response of tomato growth to foliar spray and root drenching of aqueous garlic extract: a cocktail of antioxidative defenses,chlorophyll, carotenoid and soluble sugar contents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Sikandar Hayat</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International Journal of Agriculture &amp; Biology,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20(6):1251–1259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Aqueous garlic extract stimulates growth and antioxidant enzymes activity of tomato (Solanum lycopersicum)</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Sikandar Hayat</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Scientia Horticulturae,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2018,240:139–146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The garlic allelochemical DADS influences cucumber root growth involved in regulating hormone levels and modulating cell cycling</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Kaili Ren</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Plant Physiology,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2018,230:51-60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Reactive oxygen species (ROS) as defenses against a broad range of plant fungal infections and case study on ROS employed by crops against Verticillium dahliae wilts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Muhammad Ali</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Plant Interactions,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2018,13(1): 353–363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Regulation of growth and physiological traits of cucumber (Cucumis sativus L.) through various levels of 28-homobrassinolide under salt stress conditions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Husain Ahmad</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Canadian Journal of 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98(1):132-140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identification and characterization of the CsSnRK2 family in Camellia sinensis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张永恒、万思卿</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Physiology and Biochemistry,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2018,132:287-296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Morphological characterization and optimization of conditions for conidial production of Elsino</w:t>
            </w:r>
            <w:r>
              <w:rPr>
                <w:rFonts w:hint="eastAsia" w:ascii="宋体" w:hAnsi="宋体" w:eastAsia="宋体" w:cs="宋体"/>
                <w:color w:val="000000"/>
                <w:kern w:val="0"/>
                <w:szCs w:val="21"/>
              </w:rPr>
              <w:t>ë</w:t>
            </w:r>
            <w:r>
              <w:rPr>
                <w:rFonts w:hint="eastAsia" w:ascii="仿宋" w:hAnsi="仿宋" w:eastAsia="仿宋" w:cs="宋体"/>
                <w:color w:val="000000"/>
                <w:kern w:val="0"/>
                <w:szCs w:val="21"/>
              </w:rPr>
              <w:t xml:space="preserve"> ampelina, the causal organism of grapevine anthracnose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李智</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Phytopathology，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2018,166（6）:420-428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analyses of genes encoding FK506-binding proteins reveal their involvement in abiotic stress responses in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董庆龙，毛柯（并列）</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BMC Genomics,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19:707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Analysis and Cloning of the Apple Stress-Associated Protein Gene Family Reveals MdSAP15, Which Confers Tolerance to Drought and Osmotic Stresses in Transgenic Arabidopsis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董庆龙</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International Journal of Molecular Sciences,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19(9): 2478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Structural and functional analyses of genes encoding VQ proteins in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董庆龙</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Plant Science,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272: 208-219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Ammonium uptake increases in response to PEG-induced drought stress in Malus hupehensis Rehd.</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黄琳琳</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Environmental and Experimental Botany,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151:32-42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Uptake and metabolism of ammonium and nitrate in response to drought stress in Malus prunifolia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黄琳琳</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Plant Physiology and Biochemistry,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127: 185-193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Overexpression of a Novel Apple NAC Transcription Factor Gene, MdNAC1, Confers the Dwarf Phenotype in Transgenic Apple (Malus domestica)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贾东峰、龚小庆</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Genes,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9(5): 229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The mitigation effects of exogenous melatonin on replant disease in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李超</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Pineal Research,</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2018,65(4):e12523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Effects ofexogenous dopamine on the uptake, transport, and resorption of apple ionome under moderate drought</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梁博文</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Frontiers in 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2018,9:755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Long-term exogenous application of melatonin improves nutrient uptake fluxes in apple plants under moderate drought stress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梁博文</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Environmental and Experimental Botany,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2018,155:650-661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Identification, Molecular Evolution, and Expression Divergence of Aluminum-Activated Malate Transporters in Apples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马百全、袁阳阳</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International Journal of Molecular Sciences,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19(9): 2807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Overexpression of MdATG18a in apple improves resistance to Diplocarpon mali infection by enhancing antioxidant activity and salicylic acid levels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孙逊</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Horticulture Research,</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5: 57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MdATG18a overexpression improves tolerance to nitrogen deficiency and regulates anthocyanin accumulation through increased autophagy in transgenic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孙逊</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Plant Cell And Environment,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41(2) : 469-480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Improvement of drought tolerance by overexpressing MdATG18a is mediated by modified antioxidant system and activated autophagy in transgenic apple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孙逊</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Plant Biotechnology Journal,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16(2)</w:t>
            </w:r>
            <w:r>
              <w:rPr>
                <w:rFonts w:hint="eastAsia" w:ascii="宋体" w:hAnsi="宋体" w:eastAsia="宋体" w:cs="宋体"/>
                <w:color w:val="000000"/>
                <w:kern w:val="0"/>
                <w:szCs w:val="21"/>
              </w:rPr>
              <w:t> </w:t>
            </w:r>
            <w:r>
              <w:rPr>
                <w:rFonts w:hint="eastAsia" w:ascii="仿宋" w:hAnsi="仿宋" w:eastAsia="仿宋" w:cs="宋体"/>
                <w:color w:val="000000"/>
                <w:kern w:val="0"/>
                <w:szCs w:val="21"/>
              </w:rPr>
              <w:t>:</w:t>
            </w:r>
            <w:r>
              <w:rPr>
                <w:rFonts w:hint="eastAsia" w:ascii="宋体" w:hAnsi="宋体" w:eastAsia="宋体" w:cs="宋体"/>
                <w:color w:val="000000"/>
                <w:kern w:val="0"/>
                <w:szCs w:val="21"/>
              </w:rPr>
              <w:t> </w:t>
            </w:r>
            <w:r>
              <w:rPr>
                <w:rFonts w:hint="eastAsia" w:ascii="仿宋" w:hAnsi="仿宋" w:eastAsia="仿宋" w:cs="宋体"/>
                <w:color w:val="000000"/>
                <w:kern w:val="0"/>
                <w:szCs w:val="21"/>
              </w:rPr>
              <w:t xml:space="preserve">545-557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Mapping QTLs for water-use efficiency reveals the potential candidate genes involved in regulating the trait in apple under drought stress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王海波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BMC Plant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18: 136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Identification and Analysis of Apple NITRATE TRANSPORTER 1/PEPTIDE TRANSPORTER Family (NPF) Genes Reveals MdNPF6.5 Confers High Capacity for Nitrogen Uptake under Low-Nitrogen Conditions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王倩、刘长海</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International Journal of Molecular Sciences,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19(9): 2761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Effects of exogenous melatonin on methyl viologen-mediated oxidative stress in apple leaf</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魏志为</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International Journal of Molecular Sciences,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19(1): 316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Exogenous myo-inositol alleviates salinity-induced stress in Malus hupehensis Rehd</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胡玲玉</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Physiology and Biochemistry,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2018，133:116–126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Comprehensive genomic analysis of the TYROSINE AMINOTRANSFERASE (TAT) genes in apple (Malus domestica) allows the identification of MdTAT2 conferring tolerance to drought and osmotic stresses in plants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王海波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Physiology and Biochemistry，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2018,133:81–91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Identification of apple fruits rich in health-promoting dihydrochalcones by comparative assessment of cultivated and wild accessions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周坤、胡玲玉</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Scientia Horticulturae,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233: 38-46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Grapevine VpPR10.1 functions in resistance to Plasmoparaviticola through triggering a cell death-like defense response by interacting with VpVDAC3</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Hui Ma(马辉)</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Biotechnology Journal,</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2018,16（8）:1488-1501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Overexpression of VpPR10.1 by an efficient transformation method enhances downy mildew resistance in V. vinifera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Hang Su（苏行）</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Cell Reports,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37（5）:819-832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Improved in vitro embryo development of F1 progeny of Delight×Ruby seedless using putrescine and marker-assisted selection</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Tiemei Li（李铁梅）</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In Vitro Cellular &amp; Developmental Biology-Plant,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54（3）:291-301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Genome-wide identification of WRKY transcription factors in kiwifruit (Actinidia spp.) and analysis of WRKY expression in responses to biotic and abiotic stresses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井赵斌、刘占德</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GENES &amp; GENOMICS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卷: 40   期: 4   页: 429-446   出版年: APR 2018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Melatonin and Its Effects on Plant Systems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Rahat Sharif</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Molecules，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2018, 23, 235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Mutations in CsPID encoding a Ser/Thr protein kinase are responsible for round leaf shape in cucumber (Cucumis sativus L.)</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Chaowen Zhang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Theoretical and Applied Genetics，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2018，131（6）:1379-1389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Exogenous application of GA 3, inactively regulates axillary bud outgrowth by influencing of branching-inhibitors and bud-regulating hormones in apple ( Malus domestica, Borkh.)</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Tan Ming（檀鸣）</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Molecular Genetics &amp; Genomics.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Dec;293(6):1547-1563.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Genome-wide identification and expression analysis of brassinosteroid biosynthesis and metabolism genes regulating apple tree shoot and lateral root growth</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Zheng liwei（郑立伟）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Plant Physiology.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Sep 10;231:68-85.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Expression of genes in the potential regulatory pathways controlling alternate bearing in ‘Fuji’ (Malus domestica Borkh.) apple trees during </w:t>
            </w:r>
            <w:r>
              <w:rPr>
                <w:rFonts w:hint="eastAsia" w:ascii="MS Mincho" w:hAnsi="MS Mincho" w:eastAsia="MS Mincho" w:cs="宋体"/>
                <w:color w:val="000000"/>
                <w:kern w:val="0"/>
                <w:szCs w:val="21"/>
              </w:rPr>
              <w:t>ﬂ</w:t>
            </w:r>
            <w:r>
              <w:rPr>
                <w:rFonts w:hint="eastAsia" w:ascii="仿宋" w:hAnsi="仿宋" w:eastAsia="仿宋" w:cs="宋体"/>
                <w:color w:val="000000"/>
                <w:kern w:val="0"/>
                <w:szCs w:val="21"/>
              </w:rPr>
              <w:t xml:space="preserve">ower induction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Zuo xiya（左希亚）</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Plant Physiology and Biochemistry .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Oct 9;132:579-589.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Morphological Variability in Leaves of Chinese Wild  in Vitis Species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Min Zhuo</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Scientia Horticulturae，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2018，238（7）：138-146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Editorial: Protein Quality Controlling Systems in Plant Responses to Environmental Stresses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逯明辉</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Frontiers in 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2018，9：908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Polysaccharide peptide-induced antivirus in Arabidopsis thaliana depends on Ca2+ influx by up-regulating LRR gene and increasing salicylic acid content and up-regulating LRR gene in Arabidopsis thaliana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Lei Zhao</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Molecular Plant-Microbe Interactions.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doi.org/10.1094/MPMI-10-17-0242-R</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Bioactive compounds and in vitro antioxidant activities of peel, flesh and seed powder of kiwi fruit.</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王玉堂</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International Journal of Food Science &amp; Technology.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Sep2018, Vol. 53 Issue 9, p2239-2245. 7p.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 mutation in class III homeodomain-leucine zipper (HD-ZIP III) transcription factor results in curly leaf (cul) in cucumber (Cucumis sativus L.)</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Fuxi</w:t>
            </w:r>
            <w:r>
              <w:rPr>
                <w:rFonts w:hint="eastAsia" w:ascii="宋体" w:hAnsi="宋体" w:eastAsia="宋体" w:cs="宋体"/>
                <w:color w:val="000000"/>
                <w:kern w:val="0"/>
                <w:szCs w:val="21"/>
              </w:rPr>
              <w:t> </w:t>
            </w:r>
            <w:r>
              <w:rPr>
                <w:rFonts w:hint="eastAsia" w:ascii="仿宋" w:hAnsi="仿宋" w:eastAsia="仿宋" w:cs="宋体"/>
                <w:color w:val="000000"/>
                <w:kern w:val="0"/>
                <w:szCs w:val="21"/>
              </w:rPr>
              <w:t>Rong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Theoretical and Applied Genetics，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2018，https://doi.org/10.1007/s00122-018-3198-z</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Transcriptomic and physiological analyses reveal drought adaptation strategies in drought-tolerant and -susceptible watermelon genotypes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李好</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DOI:doi.org/10.1016/j.plantsci.2018.10.016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Soil fumigation with ammonium bicarbonate or metam sodium under high temperature alleviates continuous cropping-induced Fusarium wilt in watermelon</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李好</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Scientia Horticulturae，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doi.org/10.1016/j.scienta.2018.11.090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2,4-D-induced parthenocarpy in pear is mediated by enhancement of GA4 biosynthesis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丛柳</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Physiologia Plantarum，</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2018，doi:10.1111/ppl.12835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Determination of Predominant Organic Acid Components in Malus Species: Correlation with Apple Domestication</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马百全</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Metabolites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8, 74; doi:10.3390/metabo8040074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Phenolic compounds and antioxidant activity in red- and in green-fleshed kiwifruits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刘艳飞</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Food Research International,</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https://doi. org/10.1016/j.foodres.2018.08.038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Activated expression of PHT genes contributes to osmotic stress resistance under low phosphorus levels in Malus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孙婷婷</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Journal of the American Society for Horticultural Science</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Synergistic antibacterial effects of Buddleja albiflora metabolites with antibiotics against Listeria monocytogenes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张秀云</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Letters in Applied Microbiology</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CaHSP16.4, a small heat shock protein gene in pepper, is involved in heat and drought tolerance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Huang Liu-Jun</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Protoplasma,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2018-Jun-26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CaMYC, A Novel Transcription Factor, Regulates Anthocyanin Biosynthesis in Color-leaved Pepper (Capsicum annuum L.)</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Lu BoYa</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Journal of Plant Growth Regulation,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2018，1-12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CanTF, a Novel Transcription Factor in Pepper, Is Involved in Resistance to Phytophthora capsici as well as Abiotic Stresses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He Yu-Mei</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Molecular Biology Reporter,</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Potassium fertilization arrests malate accumulation and alters soluble sugar metabolism in apple fruit</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Wen Zhang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Biology Open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7(12): 1-9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NO is involved in JA- and H2O2-mediated ALA-induced oxidative stress tolerance at low temperatures in tomato</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刘涛</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ENVIRONMENTAL AND EXPERIMENTAL BOTANY，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FF"/>
                <w:kern w:val="0"/>
                <w:sz w:val="22"/>
                <w:u w:val="single"/>
              </w:rPr>
            </w:pPr>
            <w:r>
              <w:fldChar w:fldCharType="begin"/>
            </w:r>
            <w:r>
              <w:instrText xml:space="preserve"> HYPERLINK "https://doi.org/10.1016/j.envexpbot.2018.10.020" </w:instrText>
            </w:r>
            <w:r>
              <w:fldChar w:fldCharType="separate"/>
            </w:r>
            <w:r>
              <w:rPr>
                <w:rFonts w:hint="eastAsia" w:ascii="宋体" w:hAnsi="宋体" w:eastAsia="宋体" w:cs="宋体"/>
                <w:color w:val="0000FF"/>
                <w:kern w:val="0"/>
                <w:sz w:val="22"/>
                <w:u w:val="single"/>
              </w:rPr>
              <w:t>https://doi.org/10.1016/j.envexpbot.2018.10.020</w:t>
            </w:r>
            <w:r>
              <w:rPr>
                <w:rFonts w:hint="eastAsia" w:ascii="宋体" w:hAnsi="宋体" w:eastAsia="宋体" w:cs="宋体"/>
                <w:color w:val="0000FF"/>
                <w:kern w:val="0"/>
                <w:sz w:val="22"/>
                <w:u w:val="single"/>
              </w:rPr>
              <w:fldChar w:fldCharType="end"/>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Characterization of Grape JAZ7 Gene in Arabidopsis thaliana Reveals Enhanced Resistance to Powdery Mildew but Not to Botrytis cinerea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Muhammad Hanif</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Int. J. Mol.</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Sci. 2018, 19(12), 3889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02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Current progress and future prospects for the Clustered Regularly Interspaced Short Palindromic Repeats (CRISPR) genome editing technology in fruit tree breeding.</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王现行</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Critical Reviews in Plant Sciences.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DOI: 10.1080/07352689.2018.1517457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27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Comparative RNA-sequencing-based transcriptome profiling of buds from profusely flowering ‘Qinguan’ and weakly flowering ‘Nagafu No. 2’ apple varieties reveals novel insights into the regulatory mechanisms underlying floral induction</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陈锡龙（lilong chen)</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BMC plant biology,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doi:10.1186/s12870-018-1555-3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Transcription profiles reveal the regulatory mechanisms of spur bud changes and flower induction in response to shoot bending in apple (Malus domestica Borkh.)</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邢利博</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Plant molecular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1-22,  doi:10.1007/s11103-018-0801-2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Exogenous γ-Aminobutyric Acid (GABA) Treatment Contributes to Regulation of Malate Metabolism and Ethylene synthesis in Apple Fruit during Storage</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韩寿坤</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Agricultural and Food Chemistry，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The complete mitochondrial genome of Eterusia aedea (Lepidotera,Zygaenidae) and comparison with other Zygaenidea insects.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鲍露</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Genomics</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,2018(on line)</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The WUSCHEL-related homeobox1 gene of cucumber (CsWOX1) regulates reproductive organ development.</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牛欢欢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Journal of Experimental Botany,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DOI:10.1093/jxb/ery329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Interspecific chloroplast genome sequence diversity and genomic resources in Diospyros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杨勇（共同第一）</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BMC Plant Biology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18:210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Defective APETALA2 Genes Lead to Sepal Modification in Brassica Crops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张彦峰</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Frontiers in Plant Science.</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2018,9. doi: 10.3389/fpls.2018.00367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153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An enhanced sensitivity and cleanup strategy for the nontargeted screening and targeted determination of pesticides in tea using modified dispersive solid-phase extraction and cold-induced acetonitrile aqueous two-phase systems coupled with liquid chromatography-high resolution mass spectrometry</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Feiquan Wang</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xml:space="preserve">Food Chemistry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275 (2019) 530–538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CsINV5, a tea vacuolar invertase gene enhances cold tolerance in transgenic Arabidopsis</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Wenjun Qian, 肖斌(并列第一作者)</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BMC Plant Biology</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18:228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Characterization of phytotoxin and secreted proteins identifies of Lasiodiplodia theobromae, causes of peach gummosis</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李智</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Fungal biology</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国外刊物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超微粉碎对苹果膳食纤维理化性质及羟自由基清除能力的影响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张丽媛</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食品科学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2018,39,15:139-144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山梨酸盐与钙胁迫对甜樱桃灰霉病抗性的诱导作用</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徐乐艺</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食品科学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2018,39,15:219-224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苹果转录因子MdHB1的原核表达与多克隆抗体制备</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戴杰雨</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食品科学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39(08):69-76.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根皮苷对苹果采后灰霉病的影响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贺军花</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食品科学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2018,39（15）：190-196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主动蓄热日光温室不同气流方向后墙传热CFD模拟</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鲍恩财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农业工程学报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34、22、169-177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Optimization experiment of light transmittance and active lighting mechanism of</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张勇</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Transactions of the Chinese Society of Agricultural Engineering</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2017 (11): 178-186.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装配式主动蓄热墙体日光温室热性能分析</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鲍恩财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农业工程学报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2018,34(10)：178-186.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不同材质传热风道性能及蓄热土壤温度场CFD 模拟</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鲍恩财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农业工程学报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2018,34(04)：232-238.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节能日光温室蓄热技术研究进展</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鲍恩财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农业工程学报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2018,34(06)：1-14.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8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增施CO</w:t>
            </w:r>
            <w:r>
              <w:rPr>
                <w:rFonts w:hint="eastAsia" w:ascii="仿宋" w:hAnsi="仿宋" w:eastAsia="仿宋" w:cs="宋体"/>
                <w:b/>
                <w:bCs/>
                <w:color w:val="000000"/>
                <w:kern w:val="0"/>
                <w:szCs w:val="21"/>
                <w:vertAlign w:val="subscript"/>
              </w:rPr>
              <w:t>2</w:t>
            </w:r>
            <w:r>
              <w:rPr>
                <w:rFonts w:hint="eastAsia" w:ascii="仿宋" w:hAnsi="仿宋" w:eastAsia="仿宋" w:cs="宋体"/>
                <w:b/>
                <w:bCs/>
                <w:color w:val="000000"/>
                <w:kern w:val="0"/>
                <w:szCs w:val="21"/>
              </w:rPr>
              <w:t>与LED补光对番茄果实品质及挥发性物质的影响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岳钉伊</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食品科学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2018,2018,39(1):124-130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褪黑素处理对采后猕猴桃果实后熟衰老的影响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胡苗</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食品科学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,2018，39(19):226-232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不同光质对番茄果实品质及挥发性物质的影响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杨俊伟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食品科学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2018,34(06)：1-15.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三种测定苹果有机碳方法的比较</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张静</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黑龙江农业科学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2018（10）：26-30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蔬菜幼苗叶面积快速测定方法筛选与优化</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潘铜华</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中国蔬菜</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2018（8）：64-69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茶叶产量与气象因子灰色关联度分析——以陕南茶区为例</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张璠</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2018第27卷第5期</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茶树WRKY转录因子基因CsWRKY57的克隆与表达分析</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郭俊红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2017.37（4）:411-419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小贯小绿叶蝉半胱氨酸蛋白酶基因的克隆与表达</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于永晨</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2018.38（3）:263-270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Genomic survey and expression profiling of the MYB gene family in watermelon</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许晴</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Horticultural Plant Journal，</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2018，4(1): 1–15.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脆肉甜瓜新品种农大甜5号的选育</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张勇</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中国蔬菜</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1(3)：77-79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小果型西瓜新品种陕农3号的选育</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张勇</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中国瓜菜</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31(1): 20-22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猕猴桃新品种“农大郁香”</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郁俊谊</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园艺学报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201845（2）.399-400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套袋对“瑞雪”苹果果实品质的影响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邓瑞</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西北农林科技大学学报(自然科学版),</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2018,46(07):117-123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陕西不同产区苹果香气物质差异分析</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刘潇然</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27(08):1173-1183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‘瑞阳’及其亲本‘秦冠’和‘富士’苹果香气物质的比较</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石金瑞</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27(07):977-987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不同苹果品种成熟期淀粉染色图谱的建立</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何婉茹</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北方园艺</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2018(02):52-58.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Genome-wide Identification and Expression Analysis of Half-size ABCG Genes in </w:t>
            </w:r>
            <w:r>
              <w:rPr>
                <w:rFonts w:hint="eastAsia" w:ascii="仿宋" w:hAnsi="仿宋" w:eastAsia="仿宋" w:cs="宋体"/>
                <w:i/>
                <w:iCs/>
                <w:color w:val="000000"/>
                <w:kern w:val="0"/>
                <w:szCs w:val="21"/>
              </w:rPr>
              <w:t>Malus</w:t>
            </w:r>
            <w:r>
              <w:rPr>
                <w:rFonts w:hint="eastAsia" w:ascii="仿宋" w:hAnsi="仿宋" w:eastAsia="仿宋" w:cs="宋体"/>
                <w:color w:val="000000"/>
                <w:kern w:val="0"/>
                <w:szCs w:val="21"/>
              </w:rPr>
              <w:t xml:space="preserve"> × </w:t>
            </w:r>
            <w:r>
              <w:rPr>
                <w:rFonts w:hint="eastAsia" w:ascii="仿宋" w:hAnsi="仿宋" w:eastAsia="仿宋" w:cs="宋体"/>
                <w:i/>
                <w:iCs/>
                <w:color w:val="000000"/>
                <w:kern w:val="0"/>
                <w:szCs w:val="21"/>
              </w:rPr>
              <w:t>domestica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马娟娟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Horticultural Plant Journal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2018，4（2）: 45-88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水杨酸诱导苹果采后灰霉病抗性研究</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石亚利</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西北农林科技大学学报（自然科学版）</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2018.46（2）：84-91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膨大剂在猕猴桃上的应用分析</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刘焕</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陕西农业科学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 64( 02)：71-75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G.41×新疆野苹果树体生长性状的QTL精细定位及候选基因预测</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董军</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中国农业科学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51(11):2155-2163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中晚熟苹果新品种‘秦蜜’</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李翠英</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园艺学报,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45(3):599-600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低养分条件下“碧护”对苹果幼苗生长和养分利用率的影响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王京</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中国南方果树</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(6):97-102,106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2018年陕北苹果花期冻害调查</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李翠英</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中国果业信息</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35(7):60-61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拉枝角度对苹果枝条顶梢多胺类物质含量的影响； </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吕珍珍</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西北农林科技大学学报“自然科学版”</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VOL.46 No2 Feb.2018;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喷施GA3和6-BA对富士苹果顶芽内源激素和成花长枝的影响；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马玲</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西北植物学报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2018，38，（5）：0873-0884；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苹果赤霉素氧化酶基因GA2ox、GA3ox和GA20ox家族全基因组鉴定及表达分析</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董凤</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园艺学报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(4). 613–626.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苹果全基因组CRF家族成员鉴定及在不定根发育过程中的表达分析</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李珂</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园艺学报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(4). 627–640.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苹果新品种‘瑞阳’及其亲本果实组织结构的比较分析</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李红光</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果树学报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2018,35(10),1182-1189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MdMYB10对苹果果皮苯丙氨酸代谢的影响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园艺学报,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2018,45(08),1429-1440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苹果新品种‘瑞雪’果实主要特性研究</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郭梦月</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2018,27(01),84-90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MdMYB1启动子甲基化对不同色泽类型苹果品种果皮花青苷合成的调控作用</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常博</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分子植物育种</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网络出版时间2018-5-4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不同植物生长调节剂对苹果苗木分枝及生长特性的影响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孙淑敏</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2018，46（5）：125-130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不同比例红蓝光对奶油生菜生长、光合特性及品质的影响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张珂嘉</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蔬菜</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2018年02期：7-12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内置空气-卵石槽对日光温室横向地温的影响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刘名旺</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黑龙江农业科学，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2018年10期：131-135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苹果砧木富平楸子和G935根系抗旱性评估</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李海燕</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西北农林科技大学学报（自然科学版）</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2018，5：118-124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苹果HYL1基因在干旱中的表达与功能分析</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王丽平</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西北农林科技大学学报（自然科学版）</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2018，7：109-116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柿属植物花粉形态观察及孢粉学研究</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胡超琼</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果树学报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2018,35: （9）1067-1078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阳丰甜柿叶片养分动态</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禹庆峰</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北方园艺</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2018（12）：36-41.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柿饼质量标准与优质安全生产技术体系</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杨勇</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落叶果树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2018，50(5):42 －44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E 3 泛素 – 蛋白连接酶UPL3 DNA 序列揭示德阳柿和油柿为栽培柿的最近缘物种</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杨勇(共同第一）</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农业科学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8(6), 657-673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茶树小分子热激蛋白基因CsHSP22.4、CsHSP27.4、CsHSP17.5 和CsHSP25.2 的克隆与表达分析</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陈江飞</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园艺学报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2018,45（6）：1160-1172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茶树Na+/H+逆向转运蛋白基因CsNHX1、CsNHX2的克隆及表达分析</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陈江飞</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茶叶科学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2018,38（6）：559-568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无核香味葡萄胚挽救育种研究 </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史文静</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西北植物学报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2018,38(06):983-993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利用胚挽救技术创制无核抗寒葡萄新种质</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赵雅楠</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中国农业科学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2018，51（21）：4119-4130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葡萄VvMT2基因和启动子的克隆及表达分析  </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薛竟一 </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农业生物技术学报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 26(11): 1856~1864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葡萄细胞悬浮培养体系的建立和优化.</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王玲</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生物技术通讯,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2018,34(08), 80-86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无核葡萄种质亲缘关系的SRAP研究. </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史圆圆</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中国农学通报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2018，34（9）:57-61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苹果BR信号转录因子基因MdBZR1的克隆及表达分析</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郑立伟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园艺学报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2018,45(02):205-216.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新疆野苹果与栽培苹果挥发性香气物质分析</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王怡玢</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北方园艺</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2018,42(03):46-54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陈化时间对泾阳茯砖茶品质及抑制α-淀粉酶与脂肪酶效应的影响</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郭爽爽</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西北林学院学报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2018,33（5）：179-184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陕西泾阳大棚秋延后螺丝椒丰产栽培技术</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张明科</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陕西农业科学，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2018,64（09）：99-101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陕西泾阳春季温室甜瓜品种比较试验</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张明科</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黑龙江农业科学，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2018,4:72-75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早春甘蓝大中棚三膜覆盖丰产栽培技术</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张明科</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农业科学，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2018:8（5）：419-423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葡萄砧木及杂种抗晚霜冻害调查</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张博</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中国果树，</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2018，（5）：98-101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供氮水平对基质袋培黄瓜养分吸收分配和产量的影响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蒋静静（学）</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浙江大学学报（农业与生命科学版），</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番茄斑萎病毒病研究进展</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李云洲</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园艺学报</w:t>
            </w:r>
            <w:r>
              <w:rPr>
                <w:rFonts w:hint="eastAsia" w:ascii="宋体" w:hAnsi="宋体" w:eastAsia="宋体" w:cs="宋体"/>
                <w:color w:val="000000"/>
                <w:kern w:val="0"/>
                <w:szCs w:val="21"/>
              </w:rPr>
              <w:t> </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2018,45(09),1750-1760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营养液供应量对番茄产量、品质和挥发性物质的影响</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蔡东升</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应用生态学报,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2018,2903:921-930.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全有机营养肥水耦合对番茄品质、产量及水分利用效率的影响</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张钧恒</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中国农业</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2018,5114:2788-2798.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补光灯类型对设施草莓光合特性与产量的影响</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钱舒婷</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西北农林科技大学学报(自然科学版),</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2019(04):1-7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不同施钾方式对桃树营养及果实产量和品质的影响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郑继成</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2018,27（5），699-706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不同红蓝光比例对番茄幼苗叶片结构及光合特性的影响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杨俊伟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2018,27（05）:716-726</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不同光质对番茄幼苗生长和根系的影响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杨俊伟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北方园艺</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2018（12）:77-82</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日光温室主动采光与相变蓄热改造后性能分析</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王晨晨</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北方园艺</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2018（06）:56-61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红光与远红光比值对盐胁迫下番茄幼苗抗氧化能力的影响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于捷</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西北植物学报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2018,38（8）:1487-1497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8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黄土高原成龄苹果园生态系统 CO</w:t>
            </w:r>
            <w:r>
              <w:rPr>
                <w:rFonts w:hint="eastAsia" w:ascii="仿宋" w:hAnsi="仿宋" w:eastAsia="仿宋" w:cs="宋体"/>
                <w:color w:val="000000"/>
                <w:kern w:val="0"/>
                <w:szCs w:val="21"/>
                <w:vertAlign w:val="subscript"/>
              </w:rPr>
              <w:t xml:space="preserve"> 2</w:t>
            </w:r>
            <w:r>
              <w:rPr>
                <w:rFonts w:hint="eastAsia" w:ascii="仿宋" w:hAnsi="仿宋" w:eastAsia="仿宋" w:cs="宋体"/>
                <w:color w:val="000000"/>
                <w:kern w:val="0"/>
                <w:szCs w:val="21"/>
              </w:rPr>
              <w:t>通量特征</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杨剑锋</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环境科学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2018,39（5）：2339-2350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干旱胁迫下平邑甜茶叶片差异表达蛋白分析</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杨小妮</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 46（11）：70-80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黄瓜嫩果白色皮色的QTL初步定位</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张婷婷;陈海旭;申晓青;陈书霞</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西北农林科技大学学报(自然科学版)</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,2018(12):1-7</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765"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黄瓜胚状体途径再生体系的建立</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魏文霞;刘苗苗;张婷婷;杨玉婷;李许真;郭晓;陈书霞</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西北农林科技大学学报(自然科学版)</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,2019(04):1-8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黄瓜脂氢过氧化物裂解酶基因13-CsHPL的克隆及其表达分析</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刘苗苗;张然然;魏文霞;张婷婷;陈书霞;</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分子植物育种</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2018,16(21):6907-6914.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不同光周期与光质配比对番茄植株生长发育的影响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何蔚</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2018,27(04):562-570.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CO_2对生菜生长和固碳量的影响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陈丹艳</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西北农林科技大学学报(自然科学版)</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2018,46(06):108-114.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设施农业固碳研究现状与展望</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陈丹艳</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中国农业科技导报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2018,20(02):122-128.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营养钵育苗及施肥种类对富士苹果苗生长发育的影响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张紫嫣 </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2018,27（3）384-393</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大蒜分子生物学研究进展</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刘宏久</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园艺学报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2018,45(9):1778-1790</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茶树CsSnRK2.1、CsSnRK2.2基因的克隆及在非生物胁迫中的响应</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张永恒（学生）</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茶叶科学</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2018,38(2):429~441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不同砧木嫁接对线辣椒果实产量及品质的影响</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张永香</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2018，27(11):</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栽培因素影响甘蓝花蕾小孢子发育同步性研究</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张孟利</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西南大学学报（自然科学版）</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Vol.40 No.1 2018 P:9-14.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甘蓝根系再生植株技术研究</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李楠</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Vol.47 No.2 2019 P:1-8.</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257</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南瓜种子无菌苗培养技术研究</w:t>
            </w:r>
          </w:p>
        </w:tc>
        <w:tc>
          <w:tcPr>
            <w:tcW w:w="117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武习习</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北方园艺</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2018（21）：22-29</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51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258</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Status of special germplasm resources in Diospyros L. from China</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阮小凤</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Acta Hortic.</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1195.ISHS 2018. 29-34.</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259</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一个新的黄瓜叶色突变体的光合特性分析</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胡亮亮</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西北农业学报</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2018,27（11）：1-5</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国内重要刊物</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260</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观赏植物实践教学指导</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陈红武、娄倩</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西北农林科技大学出版社</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中文专著</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261</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休闲农业实践教学指导</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陈红武、裘莉娟</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西北农林科技大学出版社</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中文专著</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262</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陕西柿品种资源图说</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杨勇</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中国农业出版社</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中文专著</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263</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果树优质高效生产新技术</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杨洪强等</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中国农业科技出版社</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中文专著</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264</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蔬菜综合生产技术实训</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陈书霞</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西北农林科技大学出版社　</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中文专著</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265</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茶学专业实践指导</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余有本</w:t>
            </w:r>
          </w:p>
        </w:tc>
        <w:tc>
          <w:tcPr>
            <w:tcW w:w="244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西北农林科技大学出版社</w:t>
            </w:r>
          </w:p>
        </w:tc>
        <w:tc>
          <w:tcPr>
            <w:tcW w:w="23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中文专著</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r>
        <w:tblPrEx>
          <w:tblLayout w:type="fixed"/>
          <w:tblCellMar>
            <w:top w:w="0" w:type="dxa"/>
            <w:left w:w="108" w:type="dxa"/>
            <w:bottom w:w="0" w:type="dxa"/>
            <w:right w:w="108" w:type="dxa"/>
          </w:tblCellMar>
        </w:tblPrEx>
        <w:trPr>
          <w:trHeight w:val="270" w:hRule="atLeast"/>
          <w:tblHeader/>
        </w:trPr>
        <w:tc>
          <w:tcPr>
            <w:tcW w:w="67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266</w:t>
            </w:r>
          </w:p>
        </w:tc>
        <w:tc>
          <w:tcPr>
            <w:tcW w:w="549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园艺概论</w:t>
            </w:r>
          </w:p>
        </w:tc>
        <w:tc>
          <w:tcPr>
            <w:tcW w:w="117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程智慧</w:t>
            </w:r>
          </w:p>
        </w:tc>
        <w:tc>
          <w:tcPr>
            <w:tcW w:w="24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科学出版社</w:t>
            </w:r>
          </w:p>
        </w:tc>
        <w:tc>
          <w:tcPr>
            <w:tcW w:w="237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7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中文专著</w:t>
            </w:r>
          </w:p>
        </w:tc>
        <w:tc>
          <w:tcPr>
            <w:tcW w:w="94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合作完成—第一人</w:t>
            </w:r>
          </w:p>
        </w:tc>
      </w:tr>
    </w:tbl>
    <w:p>
      <w:pPr>
        <w:ind w:firstLine="420" w:firstLineChars="200"/>
        <w:outlineLvl w:val="0"/>
        <w:rPr>
          <w:rFonts w:hint="eastAsia" w:ascii="Times New Roman" w:hAnsi="Times New Roman" w:eastAsia="楷体" w:cs="Times New Roman"/>
          <w:bCs/>
          <w:color w:val="000000" w:themeColor="text1"/>
          <w:szCs w:val="21"/>
        </w:rPr>
      </w:pPr>
    </w:p>
    <w:p>
      <w:pPr>
        <w:ind w:firstLine="420" w:firstLineChars="200"/>
        <w:outlineLvl w:val="0"/>
        <w:rPr>
          <w:rFonts w:ascii="Times New Roman" w:hAnsi="Times New Roman" w:eastAsia="楷体" w:cs="Times New Roman"/>
          <w:color w:val="000000" w:themeColor="text1"/>
          <w:szCs w:val="21"/>
        </w:rPr>
      </w:pPr>
      <w:r>
        <w:rPr>
          <w:rFonts w:ascii="Times New Roman" w:hAnsi="Times New Roman" w:eastAsia="楷体" w:cs="Times New Roman"/>
          <w:bCs/>
          <w:color w:val="000000" w:themeColor="text1"/>
          <w:szCs w:val="21"/>
        </w:rPr>
        <w:t>注</w:t>
      </w:r>
      <w:r>
        <w:rPr>
          <w:rFonts w:ascii="Times New Roman" w:hAnsi="Times New Roman" w:eastAsia="楷体" w:cs="Times New Roman"/>
          <w:color w:val="000000" w:themeColor="text1"/>
          <w:szCs w:val="21"/>
        </w:rPr>
        <w:t>：（1）论文、专著均限于教学研究、学术论文或专著，一般文献综述及一般教材不填报。请将有示范中心署名的论文、专著依次以国外刊物、国内重要刊物，外文专著、中文专著为序分别填报，并在类型栏中标明。单位为篇或册。（2）</w:t>
      </w:r>
      <w:r>
        <w:rPr>
          <w:rFonts w:ascii="Times New Roman" w:hAnsi="Times New Roman" w:eastAsia="楷体" w:cs="Times New Roman"/>
          <w:bCs/>
          <w:color w:val="000000" w:themeColor="text1"/>
          <w:szCs w:val="21"/>
        </w:rPr>
        <w:t>国外刊物：</w:t>
      </w:r>
      <w:r>
        <w:rPr>
          <w:rFonts w:ascii="Times New Roman" w:hAnsi="Times New Roman" w:eastAsia="楷体" w:cs="Times New Roman"/>
          <w:color w:val="000000" w:themeColor="text1"/>
          <w:szCs w:val="21"/>
        </w:rPr>
        <w:t>指在国外正式期刊发表的原始学术论文，国际会议一般论文集论文不予统计。（3）</w:t>
      </w:r>
      <w:r>
        <w:rPr>
          <w:rFonts w:ascii="Times New Roman" w:hAnsi="Times New Roman" w:eastAsia="楷体" w:cs="Times New Roman"/>
          <w:bCs/>
          <w:color w:val="000000" w:themeColor="text1"/>
          <w:szCs w:val="21"/>
        </w:rPr>
        <w:t>国内重要刊物：</w:t>
      </w:r>
      <w:r>
        <w:rPr>
          <w:rFonts w:ascii="Times New Roman" w:hAnsi="Times New Roman" w:eastAsia="楷体" w:cs="Times New Roman"/>
          <w:color w:val="000000" w:themeColor="text1"/>
          <w:szCs w:val="21"/>
        </w:rPr>
        <w:t>指中国科学院文献情报中心建立的中国科学引文数据库(简称CSCD) 核心库来源期刊 (</w:t>
      </w:r>
      <w:r>
        <w:fldChar w:fldCharType="begin"/>
      </w:r>
      <w:r>
        <w:instrText xml:space="preserve"> HYPERLINK "http://www.las.ac.cn" </w:instrText>
      </w:r>
      <w:r>
        <w:fldChar w:fldCharType="separate"/>
      </w:r>
      <w:r>
        <w:rPr>
          <w:rStyle w:val="26"/>
          <w:rFonts w:ascii="Times New Roman" w:hAnsi="Times New Roman" w:eastAsia="楷体" w:cs="Times New Roman"/>
          <w:color w:val="000000" w:themeColor="text1"/>
          <w:szCs w:val="21"/>
        </w:rPr>
        <w:t>http://www.las.ac.cn</w:t>
      </w:r>
      <w:r>
        <w:rPr>
          <w:rStyle w:val="26"/>
          <w:rFonts w:ascii="Times New Roman" w:hAnsi="Times New Roman" w:eastAsia="楷体" w:cs="Times New Roman"/>
          <w:color w:val="000000" w:themeColor="text1"/>
          <w:szCs w:val="21"/>
        </w:rPr>
        <w:fldChar w:fldCharType="end"/>
      </w:r>
      <w:r>
        <w:rPr>
          <w:rFonts w:ascii="Times New Roman" w:hAnsi="Times New Roman" w:eastAsia="楷体" w:cs="Times New Roman"/>
          <w:color w:val="000000" w:themeColor="text1"/>
          <w:szCs w:val="21"/>
        </w:rPr>
        <w:t>), 同时可对国内发行的英文版学术期刊论文进行填报，但不得与中文版期刊同内容的论文重复。（4）</w:t>
      </w:r>
      <w:r>
        <w:rPr>
          <w:rFonts w:ascii="Times New Roman" w:hAnsi="Times New Roman" w:eastAsia="楷体" w:cs="Times New Roman"/>
          <w:bCs/>
          <w:color w:val="000000" w:themeColor="text1"/>
          <w:szCs w:val="21"/>
        </w:rPr>
        <w:t>外文专著：</w:t>
      </w:r>
      <w:r>
        <w:rPr>
          <w:rFonts w:ascii="Times New Roman" w:hAnsi="Times New Roman" w:eastAsia="楷体" w:cs="Times New Roman"/>
          <w:color w:val="000000" w:themeColor="text1"/>
          <w:szCs w:val="21"/>
        </w:rPr>
        <w:t>正式出版的学术著作。（5）</w:t>
      </w:r>
      <w:r>
        <w:rPr>
          <w:rFonts w:ascii="Times New Roman" w:hAnsi="Times New Roman" w:eastAsia="楷体" w:cs="Times New Roman"/>
          <w:bCs/>
          <w:color w:val="000000" w:themeColor="text1"/>
          <w:szCs w:val="21"/>
        </w:rPr>
        <w:t>中文专著：</w:t>
      </w:r>
      <w:r>
        <w:rPr>
          <w:rFonts w:ascii="Times New Roman" w:hAnsi="Times New Roman" w:eastAsia="楷体" w:cs="Times New Roman"/>
          <w:color w:val="000000" w:themeColor="text1"/>
          <w:szCs w:val="21"/>
        </w:rPr>
        <w:t>正式出版的学术著作，不包括译著、实验室年报、论文集等。（6）</w:t>
      </w:r>
      <w:r>
        <w:rPr>
          <w:rFonts w:ascii="Times New Roman" w:hAnsi="Times New Roman" w:eastAsia="楷体" w:cs="Times New Roman"/>
          <w:bCs/>
          <w:color w:val="000000" w:themeColor="text1"/>
          <w:szCs w:val="21"/>
        </w:rPr>
        <w:t>作者：</w:t>
      </w:r>
      <w:r>
        <w:rPr>
          <w:rFonts w:ascii="Times New Roman" w:hAnsi="Times New Roman" w:eastAsia="楷体" w:cs="Times New Roman"/>
          <w:color w:val="000000" w:themeColor="text1"/>
          <w:szCs w:val="21"/>
        </w:rPr>
        <w:t>所有作者，以出版物排序为准。</w:t>
      </w:r>
    </w:p>
    <w:p>
      <w:pPr>
        <w:spacing w:before="156" w:beforeLines="50"/>
        <w:ind w:firstLine="480" w:firstLineChars="200"/>
        <w:outlineLvl w:val="0"/>
        <w:rPr>
          <w:rFonts w:ascii="Times New Roman" w:hAnsi="Times New Roman" w:eastAsia="楷体" w:cs="Times New Roman"/>
          <w:color w:val="000000" w:themeColor="text1"/>
          <w:sz w:val="24"/>
          <w:szCs w:val="24"/>
        </w:rPr>
      </w:pPr>
    </w:p>
    <w:p>
      <w:pPr>
        <w:spacing w:before="156" w:beforeLines="50"/>
        <w:ind w:firstLine="480" w:firstLineChars="200"/>
        <w:outlineLvl w:val="0"/>
        <w:rPr>
          <w:rFonts w:ascii="Times New Roman" w:hAnsi="Times New Roman" w:eastAsia="黑体" w:cs="Times New Roman"/>
          <w:color w:val="000000" w:themeColor="text1"/>
          <w:sz w:val="24"/>
          <w:szCs w:val="24"/>
        </w:rPr>
        <w:sectPr>
          <w:pgSz w:w="16838" w:h="11906" w:orient="landscape"/>
          <w:pgMar w:top="1418" w:right="1588" w:bottom="1418" w:left="1588" w:header="851" w:footer="992" w:gutter="0"/>
          <w:cols w:space="425" w:num="1"/>
          <w:docGrid w:type="linesAndChars" w:linePitch="312" w:charSpace="0"/>
        </w:sectPr>
      </w:pPr>
    </w:p>
    <w:p>
      <w:pPr>
        <w:spacing w:before="156" w:beforeLines="50" w:after="156" w:afterLines="50"/>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3</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仪器设备的研制和改装情况</w:t>
      </w:r>
    </w:p>
    <w:tbl>
      <w:tblPr>
        <w:tblStyle w:val="22"/>
        <w:tblW w:w="9142" w:type="dxa"/>
        <w:jc w:val="center"/>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0"/>
        <w:gridCol w:w="1498"/>
        <w:gridCol w:w="1406"/>
        <w:gridCol w:w="2249"/>
        <w:gridCol w:w="1741"/>
        <w:gridCol w:w="14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26" w:hRule="atLeast"/>
          <w:jc w:val="center"/>
        </w:trPr>
        <w:tc>
          <w:tcPr>
            <w:tcW w:w="750"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序号</w:t>
            </w:r>
          </w:p>
        </w:tc>
        <w:tc>
          <w:tcPr>
            <w:tcW w:w="1498"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仪器设</w:t>
            </w:r>
          </w:p>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备名称</w:t>
            </w:r>
          </w:p>
        </w:tc>
        <w:tc>
          <w:tcPr>
            <w:tcW w:w="1406"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自制或</w:t>
            </w:r>
          </w:p>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改装</w:t>
            </w:r>
          </w:p>
        </w:tc>
        <w:tc>
          <w:tcPr>
            <w:tcW w:w="2249"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开发的功能</w:t>
            </w:r>
          </w:p>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和用途</w:t>
            </w:r>
          </w:p>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（限100字以内）</w:t>
            </w:r>
          </w:p>
        </w:tc>
        <w:tc>
          <w:tcPr>
            <w:tcW w:w="1741"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研究成果</w:t>
            </w:r>
          </w:p>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（限100字以内）</w:t>
            </w:r>
          </w:p>
        </w:tc>
        <w:tc>
          <w:tcPr>
            <w:tcW w:w="1498"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jc w:val="center"/>
        </w:trPr>
        <w:tc>
          <w:tcPr>
            <w:tcW w:w="750"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1</w:t>
            </w:r>
          </w:p>
        </w:tc>
        <w:tc>
          <w:tcPr>
            <w:tcW w:w="1498" w:type="dxa"/>
          </w:tcPr>
          <w:p>
            <w:pPr>
              <w:jc w:val="center"/>
              <w:rPr>
                <w:rFonts w:ascii="Times New Roman" w:hAnsi="Times New Roman" w:eastAsia="仿宋" w:cs="Times New Roman"/>
                <w:color w:val="000000" w:themeColor="text1"/>
                <w:sz w:val="28"/>
                <w:szCs w:val="28"/>
              </w:rPr>
            </w:pPr>
          </w:p>
        </w:tc>
        <w:tc>
          <w:tcPr>
            <w:tcW w:w="1406" w:type="dxa"/>
          </w:tcPr>
          <w:p>
            <w:pPr>
              <w:jc w:val="center"/>
              <w:rPr>
                <w:rFonts w:ascii="Times New Roman" w:hAnsi="Times New Roman" w:eastAsia="仿宋" w:cs="Times New Roman"/>
                <w:color w:val="000000" w:themeColor="text1"/>
                <w:sz w:val="28"/>
                <w:szCs w:val="28"/>
              </w:rPr>
            </w:pPr>
          </w:p>
        </w:tc>
        <w:tc>
          <w:tcPr>
            <w:tcW w:w="2249" w:type="dxa"/>
          </w:tcPr>
          <w:p>
            <w:pPr>
              <w:rPr>
                <w:rFonts w:ascii="Times New Roman" w:hAnsi="Times New Roman" w:eastAsia="仿宋" w:cs="Times New Roman"/>
                <w:color w:val="000000" w:themeColor="text1"/>
                <w:sz w:val="28"/>
                <w:szCs w:val="28"/>
              </w:rPr>
            </w:pPr>
          </w:p>
        </w:tc>
        <w:tc>
          <w:tcPr>
            <w:tcW w:w="1741" w:type="dxa"/>
          </w:tcPr>
          <w:p>
            <w:pPr>
              <w:jc w:val="center"/>
              <w:rPr>
                <w:rFonts w:ascii="Times New Roman" w:hAnsi="Times New Roman" w:eastAsia="仿宋" w:cs="Times New Roman"/>
                <w:color w:val="000000" w:themeColor="text1"/>
                <w:sz w:val="28"/>
                <w:szCs w:val="28"/>
              </w:rPr>
            </w:pPr>
          </w:p>
        </w:tc>
        <w:tc>
          <w:tcPr>
            <w:tcW w:w="1498" w:type="dxa"/>
          </w:tcPr>
          <w:p>
            <w:pPr>
              <w:jc w:val="center"/>
              <w:rPr>
                <w:rFonts w:ascii="Times New Roman" w:hAnsi="Times New Roman" w:eastAsia="仿宋" w:cs="Times New Roman"/>
                <w:color w:val="000000" w:themeColor="text1"/>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jc w:val="center"/>
        </w:trPr>
        <w:tc>
          <w:tcPr>
            <w:tcW w:w="750"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2</w:t>
            </w:r>
          </w:p>
        </w:tc>
        <w:tc>
          <w:tcPr>
            <w:tcW w:w="1498" w:type="dxa"/>
          </w:tcPr>
          <w:p>
            <w:pPr>
              <w:jc w:val="center"/>
              <w:rPr>
                <w:rFonts w:ascii="Times New Roman" w:hAnsi="Times New Roman" w:eastAsia="仿宋" w:cs="Times New Roman"/>
                <w:color w:val="000000" w:themeColor="text1"/>
                <w:sz w:val="28"/>
                <w:szCs w:val="28"/>
              </w:rPr>
            </w:pPr>
          </w:p>
        </w:tc>
        <w:tc>
          <w:tcPr>
            <w:tcW w:w="1406" w:type="dxa"/>
          </w:tcPr>
          <w:p>
            <w:pPr>
              <w:jc w:val="center"/>
              <w:rPr>
                <w:rFonts w:ascii="Times New Roman" w:hAnsi="Times New Roman" w:eastAsia="仿宋" w:cs="Times New Roman"/>
                <w:color w:val="000000" w:themeColor="text1"/>
                <w:sz w:val="28"/>
                <w:szCs w:val="28"/>
              </w:rPr>
            </w:pPr>
          </w:p>
        </w:tc>
        <w:tc>
          <w:tcPr>
            <w:tcW w:w="2249" w:type="dxa"/>
          </w:tcPr>
          <w:p>
            <w:pPr>
              <w:rPr>
                <w:rFonts w:ascii="Times New Roman" w:hAnsi="Times New Roman" w:eastAsia="仿宋" w:cs="Times New Roman"/>
                <w:color w:val="000000" w:themeColor="text1"/>
                <w:sz w:val="28"/>
                <w:szCs w:val="28"/>
              </w:rPr>
            </w:pPr>
          </w:p>
        </w:tc>
        <w:tc>
          <w:tcPr>
            <w:tcW w:w="1741" w:type="dxa"/>
          </w:tcPr>
          <w:p>
            <w:pPr>
              <w:jc w:val="center"/>
              <w:rPr>
                <w:rFonts w:ascii="Times New Roman" w:hAnsi="Times New Roman" w:eastAsia="仿宋" w:cs="Times New Roman"/>
                <w:color w:val="000000" w:themeColor="text1"/>
                <w:sz w:val="28"/>
                <w:szCs w:val="28"/>
              </w:rPr>
            </w:pPr>
          </w:p>
        </w:tc>
        <w:tc>
          <w:tcPr>
            <w:tcW w:w="1498" w:type="dxa"/>
          </w:tcPr>
          <w:p>
            <w:pPr>
              <w:jc w:val="center"/>
              <w:rPr>
                <w:rFonts w:ascii="Times New Roman" w:hAnsi="Times New Roman" w:eastAsia="仿宋" w:cs="Times New Roman"/>
                <w:color w:val="000000" w:themeColor="text1"/>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jc w:val="center"/>
        </w:trPr>
        <w:tc>
          <w:tcPr>
            <w:tcW w:w="750" w:type="dxa"/>
            <w:vAlign w:val="center"/>
          </w:tcPr>
          <w:p>
            <w:pPr>
              <w:rPr>
                <w:rFonts w:ascii="Times New Roman" w:hAnsi="Times New Roman" w:eastAsia="楷体" w:cs="Times New Roman"/>
                <w:color w:val="000000" w:themeColor="text1"/>
                <w:sz w:val="24"/>
                <w:szCs w:val="24"/>
              </w:rPr>
            </w:pPr>
          </w:p>
        </w:tc>
        <w:tc>
          <w:tcPr>
            <w:tcW w:w="1498" w:type="dxa"/>
          </w:tcPr>
          <w:p>
            <w:pPr>
              <w:jc w:val="center"/>
              <w:rPr>
                <w:rFonts w:ascii="Times New Roman" w:hAnsi="Times New Roman" w:eastAsia="仿宋" w:cs="Times New Roman"/>
                <w:color w:val="000000" w:themeColor="text1"/>
                <w:sz w:val="28"/>
                <w:szCs w:val="28"/>
              </w:rPr>
            </w:pPr>
          </w:p>
        </w:tc>
        <w:tc>
          <w:tcPr>
            <w:tcW w:w="1406" w:type="dxa"/>
          </w:tcPr>
          <w:p>
            <w:pPr>
              <w:jc w:val="center"/>
              <w:rPr>
                <w:rFonts w:ascii="Times New Roman" w:hAnsi="Times New Roman" w:eastAsia="仿宋" w:cs="Times New Roman"/>
                <w:color w:val="000000" w:themeColor="text1"/>
                <w:sz w:val="28"/>
                <w:szCs w:val="28"/>
              </w:rPr>
            </w:pPr>
          </w:p>
        </w:tc>
        <w:tc>
          <w:tcPr>
            <w:tcW w:w="2249" w:type="dxa"/>
          </w:tcPr>
          <w:p>
            <w:pPr>
              <w:jc w:val="center"/>
              <w:rPr>
                <w:rFonts w:ascii="Times New Roman" w:hAnsi="Times New Roman" w:eastAsia="仿宋" w:cs="Times New Roman"/>
                <w:color w:val="000000" w:themeColor="text1"/>
                <w:sz w:val="28"/>
                <w:szCs w:val="28"/>
              </w:rPr>
            </w:pPr>
          </w:p>
        </w:tc>
        <w:tc>
          <w:tcPr>
            <w:tcW w:w="1741" w:type="dxa"/>
          </w:tcPr>
          <w:p>
            <w:pPr>
              <w:jc w:val="center"/>
              <w:rPr>
                <w:rFonts w:ascii="Times New Roman" w:hAnsi="Times New Roman" w:eastAsia="仿宋" w:cs="Times New Roman"/>
                <w:color w:val="000000" w:themeColor="text1"/>
                <w:sz w:val="28"/>
                <w:szCs w:val="28"/>
              </w:rPr>
            </w:pPr>
          </w:p>
        </w:tc>
        <w:tc>
          <w:tcPr>
            <w:tcW w:w="1498" w:type="dxa"/>
          </w:tcPr>
          <w:p>
            <w:pPr>
              <w:jc w:val="center"/>
              <w:rPr>
                <w:rFonts w:ascii="Times New Roman" w:hAnsi="Times New Roman" w:eastAsia="仿宋" w:cs="Times New Roman"/>
                <w:color w:val="000000" w:themeColor="text1"/>
                <w:sz w:val="28"/>
                <w:szCs w:val="28"/>
              </w:rPr>
            </w:pPr>
          </w:p>
        </w:tc>
      </w:tr>
    </w:tbl>
    <w:p>
      <w:pPr>
        <w:spacing w:before="156" w:beforeLines="50"/>
        <w:ind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bCs/>
          <w:color w:val="000000" w:themeColor="text1"/>
          <w:szCs w:val="21"/>
        </w:rPr>
        <w:t>注：（1）自制：</w:t>
      </w:r>
      <w:r>
        <w:rPr>
          <w:rFonts w:ascii="Times New Roman" w:hAnsi="Times New Roman" w:eastAsia="楷体" w:cs="Times New Roman"/>
          <w:color w:val="000000" w:themeColor="text1"/>
          <w:szCs w:val="21"/>
        </w:rPr>
        <w:t>实验室自行研制的仪器设备。（2）</w:t>
      </w:r>
      <w:r>
        <w:rPr>
          <w:rFonts w:ascii="Times New Roman" w:hAnsi="Times New Roman" w:eastAsia="楷体" w:cs="Times New Roman"/>
          <w:bCs/>
          <w:color w:val="000000" w:themeColor="text1"/>
          <w:szCs w:val="21"/>
        </w:rPr>
        <w:t>改装：</w:t>
      </w:r>
      <w:r>
        <w:rPr>
          <w:rFonts w:ascii="Times New Roman" w:hAnsi="Times New Roman" w:eastAsia="楷体" w:cs="Times New Roman"/>
          <w:color w:val="000000" w:themeColor="text1"/>
          <w:szCs w:val="21"/>
        </w:rPr>
        <w:t>对购置的仪器设备进行改装，赋予其新的功能和用途。（3）</w:t>
      </w:r>
      <w:r>
        <w:rPr>
          <w:rFonts w:ascii="Times New Roman" w:hAnsi="Times New Roman" w:eastAsia="楷体" w:cs="Times New Roman"/>
          <w:bCs/>
          <w:color w:val="000000" w:themeColor="text1"/>
          <w:szCs w:val="21"/>
        </w:rPr>
        <w:t>研究成果：</w:t>
      </w:r>
      <w:r>
        <w:rPr>
          <w:rFonts w:ascii="Times New Roman" w:hAnsi="Times New Roman" w:eastAsia="楷体" w:cs="Times New Roman"/>
          <w:color w:val="000000" w:themeColor="text1"/>
          <w:szCs w:val="21"/>
        </w:rPr>
        <w:t>用新研制或改装的仪器设备进行研究的创新性成果，列举1－2项。</w:t>
      </w:r>
    </w:p>
    <w:p>
      <w:pPr>
        <w:spacing w:before="156" w:beforeLines="50" w:after="156" w:afterLines="50"/>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4</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其它成果情况</w:t>
      </w:r>
    </w:p>
    <w:tbl>
      <w:tblPr>
        <w:tblStyle w:val="22"/>
        <w:tblW w:w="9079" w:type="dxa"/>
        <w:jc w:val="center"/>
        <w:tblInd w:w="81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859"/>
        <w:gridCol w:w="422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0" w:hRule="atLeast"/>
          <w:jc w:val="center"/>
        </w:trPr>
        <w:tc>
          <w:tcPr>
            <w:tcW w:w="4859"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名称</w:t>
            </w:r>
          </w:p>
        </w:tc>
        <w:tc>
          <w:tcPr>
            <w:tcW w:w="4220" w:type="dxa"/>
            <w:vAlign w:val="center"/>
          </w:tcPr>
          <w:p>
            <w:pPr>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0" w:hRule="atLeast"/>
          <w:jc w:val="center"/>
        </w:trPr>
        <w:tc>
          <w:tcPr>
            <w:tcW w:w="4859"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国内会议论文数</w:t>
            </w:r>
          </w:p>
        </w:tc>
        <w:tc>
          <w:tcPr>
            <w:tcW w:w="4220"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38篇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0" w:hRule="atLeast"/>
          <w:jc w:val="center"/>
        </w:trPr>
        <w:tc>
          <w:tcPr>
            <w:tcW w:w="4859"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国际会议论文数</w:t>
            </w:r>
          </w:p>
        </w:tc>
        <w:tc>
          <w:tcPr>
            <w:tcW w:w="4220"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21篇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0" w:hRule="atLeast"/>
          <w:jc w:val="center"/>
        </w:trPr>
        <w:tc>
          <w:tcPr>
            <w:tcW w:w="4859"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国内一般刊物发表论文数</w:t>
            </w:r>
          </w:p>
        </w:tc>
        <w:tc>
          <w:tcPr>
            <w:tcW w:w="4220"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28篇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0" w:hRule="atLeast"/>
          <w:jc w:val="center"/>
        </w:trPr>
        <w:tc>
          <w:tcPr>
            <w:tcW w:w="4859"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省部委奖数</w:t>
            </w:r>
          </w:p>
        </w:tc>
        <w:tc>
          <w:tcPr>
            <w:tcW w:w="4220"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11项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0" w:hRule="atLeast"/>
          <w:jc w:val="center"/>
        </w:trPr>
        <w:tc>
          <w:tcPr>
            <w:tcW w:w="4859"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其它奖数</w:t>
            </w:r>
          </w:p>
        </w:tc>
        <w:tc>
          <w:tcPr>
            <w:tcW w:w="4220" w:type="dxa"/>
            <w:vAlign w:val="center"/>
          </w:tcPr>
          <w:p>
            <w:pPr>
              <w:jc w:val="center"/>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57项</w:t>
            </w:r>
          </w:p>
        </w:tc>
      </w:tr>
    </w:tbl>
    <w:p>
      <w:pPr>
        <w:spacing w:before="156" w:beforeLines="50"/>
        <w:ind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bCs/>
          <w:color w:val="000000" w:themeColor="text1"/>
          <w:szCs w:val="21"/>
        </w:rPr>
        <w:t>注：国内一般刊物：</w:t>
      </w:r>
      <w:r>
        <w:rPr>
          <w:rFonts w:ascii="Times New Roman" w:hAnsi="Times New Roman" w:eastAsia="楷体" w:cs="Times New Roman"/>
          <w:color w:val="000000" w:themeColor="text1"/>
          <w:szCs w:val="21"/>
        </w:rPr>
        <w:t>除CSCD核心库来源期刊以外的其它国内刊物，只填报原始论文。</w:t>
      </w:r>
    </w:p>
    <w:p>
      <w:pPr>
        <w:pStyle w:val="3"/>
        <w:spacing w:before="156" w:beforeLines="50" w:after="156" w:afterLines="50" w:line="500" w:lineRule="exact"/>
        <w:rPr>
          <w:rFonts w:ascii="Times New Roman" w:hAnsi="Times New Roman" w:eastAsia="黑体" w:cs="Times New Roman"/>
          <w:b w:val="0"/>
          <w:color w:val="000000" w:themeColor="text1"/>
        </w:rPr>
      </w:pPr>
      <w:bookmarkStart w:id="135" w:name="_Toc535227432"/>
      <w:r>
        <w:rPr>
          <w:rFonts w:ascii="Times New Roman" w:hAnsi="Times New Roman" w:eastAsia="黑体" w:cs="Times New Roman"/>
          <w:b w:val="0"/>
          <w:color w:val="000000" w:themeColor="text1"/>
        </w:rPr>
        <w:t>四、人才队伍基本情况</w:t>
      </w:r>
      <w:bookmarkEnd w:id="135"/>
    </w:p>
    <w:p>
      <w:pPr>
        <w:pStyle w:val="4"/>
        <w:spacing w:before="0" w:after="0" w:line="240" w:lineRule="auto"/>
        <w:ind w:firstLine="562" w:firstLineChars="200"/>
        <w:rPr>
          <w:rFonts w:ascii="Times New Roman" w:hAnsi="Times New Roman" w:eastAsia="楷体_GB2312" w:cs="Times New Roman"/>
          <w:color w:val="000000" w:themeColor="text1"/>
          <w:sz w:val="28"/>
          <w:szCs w:val="28"/>
        </w:rPr>
      </w:pPr>
      <w:bookmarkStart w:id="136" w:name="_Toc535227433"/>
      <w:r>
        <w:rPr>
          <w:rFonts w:ascii="Times New Roman" w:hAnsi="Times New Roman" w:eastAsia="楷体_GB2312" w:cs="Times New Roman"/>
          <w:color w:val="000000" w:themeColor="text1"/>
          <w:sz w:val="28"/>
          <w:szCs w:val="28"/>
        </w:rPr>
        <w:t>（一）本年度固定人员情况</w:t>
      </w:r>
      <w:bookmarkEnd w:id="136"/>
    </w:p>
    <w:tbl>
      <w:tblPr>
        <w:tblStyle w:val="22"/>
        <w:tblW w:w="9215" w:type="dxa"/>
        <w:tblInd w:w="-176"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710"/>
        <w:gridCol w:w="850"/>
        <w:gridCol w:w="709"/>
        <w:gridCol w:w="1276"/>
        <w:gridCol w:w="567"/>
        <w:gridCol w:w="1559"/>
        <w:gridCol w:w="992"/>
        <w:gridCol w:w="992"/>
        <w:gridCol w:w="1560"/>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黑体" w:hAnsi="黑体" w:eastAsia="黑体" w:cs="Times New Roman"/>
                <w:color w:val="000000" w:themeColor="text1"/>
                <w:szCs w:val="21"/>
              </w:rPr>
            </w:pPr>
            <w:r>
              <w:rPr>
                <w:rFonts w:ascii="黑体" w:hAnsi="黑体" w:eastAsia="黑体" w:cs="Times New Roman"/>
                <w:color w:val="000000" w:themeColor="text1"/>
                <w:szCs w:val="21"/>
              </w:rPr>
              <w:t>序号</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黑体" w:hAnsi="黑体" w:eastAsia="黑体" w:cs="Times New Roman"/>
                <w:color w:val="000000" w:themeColor="text1"/>
                <w:szCs w:val="21"/>
              </w:rPr>
            </w:pPr>
            <w:r>
              <w:rPr>
                <w:rFonts w:ascii="黑体" w:hAnsi="黑体" w:eastAsia="黑体" w:cs="Times New Roman"/>
                <w:color w:val="000000" w:themeColor="text1"/>
                <w:szCs w:val="21"/>
              </w:rPr>
              <w:t>姓名</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黑体" w:hAnsi="黑体" w:eastAsia="黑体" w:cs="Times New Roman"/>
                <w:color w:val="000000" w:themeColor="text1"/>
                <w:szCs w:val="21"/>
              </w:rPr>
            </w:pPr>
            <w:r>
              <w:rPr>
                <w:rFonts w:ascii="黑体" w:hAnsi="黑体" w:eastAsia="黑体" w:cs="Times New Roman"/>
                <w:color w:val="000000" w:themeColor="text1"/>
                <w:szCs w:val="21"/>
              </w:rPr>
              <w:t>性别</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黑体" w:hAnsi="黑体" w:eastAsia="黑体" w:cs="Times New Roman"/>
                <w:color w:val="000000" w:themeColor="text1"/>
                <w:szCs w:val="21"/>
              </w:rPr>
            </w:pPr>
            <w:r>
              <w:rPr>
                <w:rFonts w:ascii="黑体" w:hAnsi="黑体" w:eastAsia="黑体" w:cs="Times New Roman"/>
                <w:color w:val="000000" w:themeColor="text1"/>
                <w:szCs w:val="21"/>
              </w:rPr>
              <w:t>出生年份</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黑体" w:hAnsi="黑体" w:eastAsia="黑体" w:cs="Times New Roman"/>
                <w:color w:val="000000" w:themeColor="text1"/>
                <w:szCs w:val="21"/>
              </w:rPr>
            </w:pPr>
            <w:r>
              <w:rPr>
                <w:rFonts w:ascii="黑体" w:hAnsi="黑体" w:eastAsia="黑体" w:cs="Times New Roman"/>
                <w:color w:val="000000" w:themeColor="text1"/>
                <w:szCs w:val="21"/>
              </w:rPr>
              <w:t>职称</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黑体" w:hAnsi="黑体" w:eastAsia="黑体" w:cs="Times New Roman"/>
                <w:color w:val="000000" w:themeColor="text1"/>
                <w:szCs w:val="21"/>
              </w:rPr>
            </w:pPr>
            <w:r>
              <w:rPr>
                <w:rFonts w:ascii="黑体" w:hAnsi="黑体" w:eastAsia="黑体" w:cs="Times New Roman"/>
                <w:color w:val="000000" w:themeColor="text1"/>
                <w:szCs w:val="21"/>
              </w:rPr>
              <w:t>职务</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黑体" w:hAnsi="黑体" w:eastAsia="黑体" w:cs="Times New Roman"/>
                <w:color w:val="000000" w:themeColor="text1"/>
                <w:szCs w:val="21"/>
              </w:rPr>
            </w:pPr>
            <w:r>
              <w:rPr>
                <w:rFonts w:ascii="黑体" w:hAnsi="黑体" w:eastAsia="黑体" w:cs="Times New Roman"/>
                <w:color w:val="000000" w:themeColor="text1"/>
                <w:szCs w:val="21"/>
              </w:rPr>
              <w:t>工作性质</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黑体" w:hAnsi="黑体" w:eastAsia="黑体" w:cs="Times New Roman"/>
                <w:color w:val="000000" w:themeColor="text1"/>
                <w:szCs w:val="21"/>
              </w:rPr>
            </w:pPr>
            <w:r>
              <w:rPr>
                <w:rFonts w:ascii="黑体" w:hAnsi="黑体" w:eastAsia="黑体" w:cs="Times New Roman"/>
                <w:color w:val="000000" w:themeColor="text1"/>
                <w:szCs w:val="21"/>
              </w:rPr>
              <w:t>学位</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黑体" w:hAnsi="黑体" w:eastAsia="黑体" w:cs="Times New Roman"/>
                <w:color w:val="000000" w:themeColor="text1"/>
                <w:szCs w:val="21"/>
              </w:rPr>
            </w:pPr>
            <w:r>
              <w:rPr>
                <w:rFonts w:ascii="黑体" w:hAnsi="黑体" w:eastAsia="黑体" w:cs="Times New Roman"/>
                <w:color w:val="000000" w:themeColor="text1"/>
                <w:szCs w:val="21"/>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邹志荣</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1956/6/13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示范中心主任</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王西平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1968/5/30</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示范中心副主任</w:t>
            </w: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饶景萍</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1957/7/13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任小林</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1964/7/9</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马锋旺</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1964/4/1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王乔春</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1958/2/28</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文颖强</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1974/10/21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徐凌飞</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1969/6/11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徐炎</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1972/4/20</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李鹏民</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1979/1/3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安贵阳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1964/3/17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科技推广</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梁俊</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1963/12/6</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科技推广</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赵政阳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1964/11/15</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蔡宇良</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1964/3/12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刘占德</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1965/3/2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科技推广</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姚春潮</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1965/5/18</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科技推广</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张剑侠</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1964/7/2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王跃进</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1958/4/17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管清美</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1979/10/31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国家优秀青年科学基金获得者</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陈书霞</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1971/5/17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程智慧</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1958/5/14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杜军志</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1968/2/16</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科技推广</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学士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梁燕</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1963/7/24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李玉红</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1973/12/12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孙艳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1964/9/6</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张鲁刚</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1963/2/8</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张显</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1961/9/23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赵尊练</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1960/4/23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宫海军</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1975/10/7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王晓峰</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1964/1/13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胡晓辉</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1977/10/1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李建明</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1966/9/17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郭延平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1963/6/21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战祥强</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1977/3/3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正高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何玲</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1965/11/14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周会玲</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1969/10/22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李翠英</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1974/9/8</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余有本</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1974/4/17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39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张朝红</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1970/7/1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赵彩平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1974/9/8</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高华</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1970/2/25</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科技推广</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张林森</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1964/5/2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李高潮</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1967/11/13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科技推广</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杨勇</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1964/9/2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陈儒钢</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1978/9/20</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学士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惠麦侠</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1968/5/17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逯明辉</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1977/12/13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孟焕文</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1961/1/23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张明科</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1970/11/1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杨振超</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1976/5/28</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张勇</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1977/8/6</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张智</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1978/8/22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王荣花</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1963/9/20</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杜慧芳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1965/10/10</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高京草</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1963/9/1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丁勤</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1968/10/5</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王西芳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1965/5/21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学士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周存田</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1959/5/9</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其他</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59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张静</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1979/9/21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李征</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1982/4/28</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李明军</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1981/3/19</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张东</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1981/9/29</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杜羽</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1984/7/20</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周天山</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1979/10/16</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冯嘉</w:t>
            </w:r>
            <w:r>
              <w:rPr>
                <w:rFonts w:ascii="Times New Roman" w:hAnsi="Times New Roman" w:eastAsia="宋体" w:cs="Times New Roman"/>
                <w:color w:val="000000" w:themeColor="text1"/>
                <w:szCs w:val="21"/>
              </w:rPr>
              <w:t>玥</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1977/12/16</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李大伟</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1979/10/31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孙先鹏</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1979/10/7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郭佳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1983/5/3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69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王志刚</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1979/11/7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刘翠华</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1986/7/4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曹晏飞</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1986/10/16</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徐记迪</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1988/2/24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罗佳</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1966/10/20</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副高</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唐爱均</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1972/12/2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甄爱</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1986/10/12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卢丽娟</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1984/5/12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罗敏蓉</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1980/7/5</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丁明</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1979/6/23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79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鲍露</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1979/5/23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黄炜</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1977/12/1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陈红武</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1970/12/25</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张颜</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1987/12/14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娄倩</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1985/1/11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刘航空</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1980/9/7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李好</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1986/11/4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李智</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1985/5/13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汪淑芬</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1986/3/21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龚小庆</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1986/12/4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89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梁微</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1982/12/10</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杨成泉</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1987/12/23</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91</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蒲亚锋</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1973/2/22</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92</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魏春华</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1986/2/4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93</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王南南</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1985/10/21</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94</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裘莉娟</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1980/2/28</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硕士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95</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刘国甜</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1986/3/29</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96</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李小靖</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1983/10/17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97</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张飞</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1982/2/20</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实验技术</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98</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蒋程瑶</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1988/9/4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99</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吕燕荣</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女</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1985/2/7</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blHeader/>
        </w:trPr>
        <w:tc>
          <w:tcPr>
            <w:tcW w:w="71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100</w:t>
            </w:r>
          </w:p>
        </w:tc>
        <w:tc>
          <w:tcPr>
            <w:tcW w:w="85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马百全</w:t>
            </w:r>
          </w:p>
        </w:tc>
        <w:tc>
          <w:tcPr>
            <w:tcW w:w="7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男</w:t>
            </w:r>
          </w:p>
        </w:tc>
        <w:tc>
          <w:tcPr>
            <w:tcW w:w="1276"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1987/4/24</w:t>
            </w:r>
          </w:p>
        </w:tc>
        <w:tc>
          <w:tcPr>
            <w:tcW w:w="56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中级</w:t>
            </w:r>
          </w:p>
        </w:tc>
        <w:tc>
          <w:tcPr>
            <w:tcW w:w="155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c>
          <w:tcPr>
            <w:tcW w:w="99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教师</w:t>
            </w:r>
          </w:p>
        </w:tc>
        <w:tc>
          <w:tcPr>
            <w:tcW w:w="992" w:type="dxa"/>
            <w:tcBorders>
              <w:top w:val="single" w:color="auto" w:sz="6" w:space="0"/>
              <w:left w:val="single" w:color="auto" w:sz="4" w:space="0"/>
              <w:bottom w:val="single" w:color="auto" w:sz="6" w:space="0"/>
              <w:right w:val="single" w:color="auto" w:sz="4"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博士</w:t>
            </w:r>
          </w:p>
        </w:tc>
        <w:tc>
          <w:tcPr>
            <w:tcW w:w="15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ind w:left="-105" w:leftChars="-50" w:right="-105" w:rightChars="-50"/>
              <w:jc w:val="center"/>
              <w:rPr>
                <w:rFonts w:ascii="Times New Roman" w:hAnsi="Times New Roman" w:eastAsia="仿宋_GB2312" w:cs="Times New Roman"/>
                <w:color w:val="000000" w:themeColor="text1"/>
                <w:szCs w:val="21"/>
              </w:rPr>
            </w:pPr>
          </w:p>
        </w:tc>
      </w:tr>
    </w:tbl>
    <w:p>
      <w:pPr>
        <w:spacing w:before="156" w:beforeLines="50"/>
        <w:ind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bCs/>
          <w:color w:val="000000" w:themeColor="text1"/>
          <w:szCs w:val="21"/>
        </w:rPr>
        <w:t>注：（1）固定人员：</w:t>
      </w:r>
      <w:r>
        <w:rPr>
          <w:rFonts w:ascii="Times New Roman" w:hAnsi="Times New Roman" w:eastAsia="楷体" w:cs="Times New Roman"/>
          <w:color w:val="000000" w:themeColor="text1"/>
          <w:szCs w:val="21"/>
        </w:rPr>
        <w:t>指经过核定的属于示范中心编制的人员。（2）</w:t>
      </w:r>
      <w:r>
        <w:rPr>
          <w:rFonts w:ascii="Times New Roman" w:hAnsi="Times New Roman" w:eastAsia="楷体" w:cs="Times New Roman"/>
          <w:bCs/>
          <w:color w:val="000000" w:themeColor="text1"/>
          <w:szCs w:val="21"/>
        </w:rPr>
        <w:t>示范中心职务：</w:t>
      </w:r>
      <w:r>
        <w:rPr>
          <w:rFonts w:ascii="Times New Roman" w:hAnsi="Times New Roman" w:eastAsia="楷体" w:cs="Times New Roman"/>
          <w:color w:val="000000" w:themeColor="text1"/>
          <w:szCs w:val="21"/>
        </w:rPr>
        <w:t>示范中心主任、副主任。（3）</w:t>
      </w:r>
      <w:r>
        <w:rPr>
          <w:rFonts w:ascii="Times New Roman" w:hAnsi="Times New Roman" w:eastAsia="楷体" w:cs="Times New Roman"/>
          <w:bCs/>
          <w:color w:val="000000" w:themeColor="text1"/>
          <w:szCs w:val="21"/>
        </w:rPr>
        <w:t>工作性质：</w:t>
      </w:r>
      <w:r>
        <w:rPr>
          <w:rFonts w:ascii="Times New Roman" w:hAnsi="Times New Roman" w:eastAsia="楷体" w:cs="Times New Roman"/>
          <w:color w:val="000000" w:themeColor="text1"/>
          <w:szCs w:val="21"/>
        </w:rPr>
        <w:t>教学、技术、管理、其它，从事研究工作的兼职管理人员其工作性质为研究。（4）</w:t>
      </w:r>
      <w:r>
        <w:rPr>
          <w:rFonts w:ascii="Times New Roman" w:hAnsi="Times New Roman" w:eastAsia="楷体" w:cs="Times New Roman"/>
          <w:bCs/>
          <w:color w:val="000000" w:themeColor="text1"/>
          <w:szCs w:val="21"/>
        </w:rPr>
        <w:t>学位：</w:t>
      </w:r>
      <w:r>
        <w:rPr>
          <w:rFonts w:ascii="Times New Roman" w:hAnsi="Times New Roman" w:eastAsia="楷体" w:cs="Times New Roman"/>
          <w:color w:val="000000" w:themeColor="text1"/>
          <w:szCs w:val="21"/>
        </w:rPr>
        <w:t>博士、硕士、学士、其它，一般以学位证书为准。“文革”前毕业的研究生统计为硕士，“文革”前毕业的本科生统计为学士。（5）</w:t>
      </w:r>
      <w:r>
        <w:rPr>
          <w:rFonts w:ascii="Times New Roman" w:hAnsi="Times New Roman" w:eastAsia="楷体" w:cs="Times New Roman"/>
          <w:bCs/>
          <w:color w:val="000000" w:themeColor="text1"/>
          <w:szCs w:val="21"/>
        </w:rPr>
        <w:t>备注：</w:t>
      </w:r>
      <w:r>
        <w:rPr>
          <w:rFonts w:ascii="Times New Roman" w:hAnsi="Times New Roman" w:eastAsia="楷体" w:cs="Times New Roman"/>
          <w:color w:val="000000" w:themeColor="text1"/>
          <w:szCs w:val="21"/>
        </w:rPr>
        <w:t>是否院士、博士生导师、杰出青年基金获得者、长江学者等，获得时间。</w:t>
      </w:r>
    </w:p>
    <w:p>
      <w:pPr>
        <w:pStyle w:val="4"/>
        <w:spacing w:before="0" w:after="0" w:line="240" w:lineRule="auto"/>
        <w:ind w:firstLine="562" w:firstLineChars="200"/>
        <w:rPr>
          <w:rFonts w:ascii="Times New Roman" w:hAnsi="Times New Roman" w:eastAsia="楷体_GB2312" w:cs="Times New Roman"/>
          <w:color w:val="000000" w:themeColor="text1"/>
          <w:sz w:val="28"/>
          <w:szCs w:val="28"/>
        </w:rPr>
      </w:pPr>
      <w:bookmarkStart w:id="137" w:name="_Toc535227434"/>
      <w:r>
        <w:rPr>
          <w:rFonts w:ascii="Times New Roman" w:hAnsi="Times New Roman" w:eastAsia="楷体_GB2312" w:cs="Times New Roman"/>
          <w:color w:val="000000" w:themeColor="text1"/>
          <w:sz w:val="28"/>
          <w:szCs w:val="28"/>
        </w:rPr>
        <w:t>（二）本年度流动人员情况</w:t>
      </w:r>
      <w:bookmarkEnd w:id="137"/>
    </w:p>
    <w:tbl>
      <w:tblPr>
        <w:tblStyle w:val="22"/>
        <w:tblW w:w="9200" w:type="dxa"/>
        <w:jc w:val="center"/>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9"/>
        <w:gridCol w:w="1134"/>
        <w:gridCol w:w="537"/>
        <w:gridCol w:w="1314"/>
        <w:gridCol w:w="730"/>
        <w:gridCol w:w="1168"/>
        <w:gridCol w:w="1315"/>
        <w:gridCol w:w="876"/>
        <w:gridCol w:w="1607"/>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8" w:hRule="atLeast"/>
          <w:jc w:val="center"/>
        </w:trPr>
        <w:tc>
          <w:tcPr>
            <w:tcW w:w="5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序号</w:t>
            </w: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姓名</w:t>
            </w:r>
          </w:p>
        </w:tc>
        <w:tc>
          <w:tcPr>
            <w:tcW w:w="5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性别</w:t>
            </w:r>
          </w:p>
        </w:tc>
        <w:tc>
          <w:tcPr>
            <w:tcW w:w="13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出生年份</w:t>
            </w:r>
          </w:p>
        </w:tc>
        <w:tc>
          <w:tcPr>
            <w:tcW w:w="73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职称</w:t>
            </w:r>
          </w:p>
        </w:tc>
        <w:tc>
          <w:tcPr>
            <w:tcW w:w="11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国别</w:t>
            </w:r>
          </w:p>
        </w:tc>
        <w:tc>
          <w:tcPr>
            <w:tcW w:w="131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工作单位</w:t>
            </w:r>
          </w:p>
        </w:tc>
        <w:tc>
          <w:tcPr>
            <w:tcW w:w="8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类型</w:t>
            </w:r>
          </w:p>
        </w:tc>
        <w:tc>
          <w:tcPr>
            <w:tcW w:w="1607"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4" w:hRule="atLeast"/>
          <w:jc w:val="center"/>
        </w:trPr>
        <w:tc>
          <w:tcPr>
            <w:tcW w:w="5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w:t>
            </w: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Steve van Nocker</w:t>
            </w:r>
          </w:p>
        </w:tc>
        <w:tc>
          <w:tcPr>
            <w:tcW w:w="5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男</w:t>
            </w:r>
          </w:p>
        </w:tc>
        <w:tc>
          <w:tcPr>
            <w:tcW w:w="13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1968</w:t>
            </w:r>
          </w:p>
        </w:tc>
        <w:tc>
          <w:tcPr>
            <w:tcW w:w="73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教授</w:t>
            </w:r>
          </w:p>
        </w:tc>
        <w:tc>
          <w:tcPr>
            <w:tcW w:w="11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美国</w:t>
            </w:r>
          </w:p>
        </w:tc>
        <w:tc>
          <w:tcPr>
            <w:tcW w:w="131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密歇根州</w:t>
            </w:r>
          </w:p>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立大学</w:t>
            </w:r>
          </w:p>
        </w:tc>
        <w:tc>
          <w:tcPr>
            <w:tcW w:w="8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其他</w:t>
            </w:r>
          </w:p>
        </w:tc>
        <w:tc>
          <w:tcPr>
            <w:tcW w:w="1607"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2018.7至今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4" w:hRule="atLeast"/>
          <w:jc w:val="center"/>
        </w:trPr>
        <w:tc>
          <w:tcPr>
            <w:tcW w:w="5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w:t>
            </w: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5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13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73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11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131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8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 w:cs="Times New Roman"/>
                <w:color w:val="000000" w:themeColor="text1"/>
                <w:szCs w:val="21"/>
              </w:rPr>
            </w:pPr>
          </w:p>
        </w:tc>
        <w:tc>
          <w:tcPr>
            <w:tcW w:w="1607"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4" w:hRule="atLeast"/>
          <w:jc w:val="center"/>
        </w:trPr>
        <w:tc>
          <w:tcPr>
            <w:tcW w:w="519" w:type="dxa"/>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eastAsia="仿宋" w:cs="Times New Roman"/>
                <w:color w:val="000000" w:themeColor="text1"/>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5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13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73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116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131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c>
          <w:tcPr>
            <w:tcW w:w="876"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 w:cs="Times New Roman"/>
                <w:color w:val="000000" w:themeColor="text1"/>
                <w:szCs w:val="21"/>
              </w:rPr>
            </w:pPr>
          </w:p>
        </w:tc>
        <w:tc>
          <w:tcPr>
            <w:tcW w:w="1607"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 w:cs="Times New Roman"/>
                <w:color w:val="000000" w:themeColor="text1"/>
                <w:szCs w:val="21"/>
              </w:rPr>
            </w:pPr>
          </w:p>
        </w:tc>
      </w:tr>
    </w:tbl>
    <w:p>
      <w:pPr>
        <w:spacing w:before="156" w:beforeLines="50"/>
        <w:ind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color w:val="000000" w:themeColor="text1"/>
          <w:szCs w:val="21"/>
        </w:rPr>
        <w:t>注：（1）流动人员：包括“访问学者和其他”两种类型。（2）工作期限：在示范中心工作的协议起止时间。</w:t>
      </w:r>
    </w:p>
    <w:p>
      <w:pPr>
        <w:pStyle w:val="4"/>
        <w:spacing w:before="0" w:after="0" w:line="240" w:lineRule="auto"/>
        <w:ind w:firstLine="562" w:firstLineChars="200"/>
        <w:rPr>
          <w:rFonts w:ascii="Times New Roman" w:hAnsi="Times New Roman" w:eastAsia="楷体_GB2312" w:cs="Times New Roman"/>
          <w:color w:val="000000" w:themeColor="text1"/>
          <w:sz w:val="28"/>
          <w:szCs w:val="28"/>
        </w:rPr>
      </w:pPr>
      <w:bookmarkStart w:id="138" w:name="_Toc535227435"/>
      <w:r>
        <w:rPr>
          <w:rFonts w:ascii="Times New Roman" w:hAnsi="Times New Roman" w:eastAsia="楷体_GB2312" w:cs="Times New Roman"/>
          <w:color w:val="000000" w:themeColor="text1"/>
          <w:sz w:val="28"/>
          <w:szCs w:val="28"/>
        </w:rPr>
        <w:t>（三）本年度教学指导委员会人员情况</w:t>
      </w:r>
      <w:r>
        <w:rPr>
          <w:rFonts w:ascii="Times New Roman" w:hAnsi="Times New Roman" w:eastAsia="楷体_GB2312" w:cs="Times New Roman"/>
          <w:b w:val="0"/>
          <w:color w:val="000000" w:themeColor="text1"/>
          <w:sz w:val="28"/>
          <w:szCs w:val="28"/>
        </w:rPr>
        <w:t>（2016年12月31日前没有成立的可以不填）</w:t>
      </w:r>
      <w:bookmarkEnd w:id="138"/>
    </w:p>
    <w:tbl>
      <w:tblPr>
        <w:tblStyle w:val="22"/>
        <w:tblW w:w="9252" w:type="dxa"/>
        <w:jc w:val="center"/>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1"/>
        <w:gridCol w:w="701"/>
        <w:gridCol w:w="701"/>
        <w:gridCol w:w="1261"/>
        <w:gridCol w:w="701"/>
        <w:gridCol w:w="701"/>
        <w:gridCol w:w="981"/>
        <w:gridCol w:w="1460"/>
        <w:gridCol w:w="851"/>
        <w:gridCol w:w="1194"/>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序号</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姓名</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性别</w:t>
            </w:r>
          </w:p>
        </w:tc>
        <w:tc>
          <w:tcPr>
            <w:tcW w:w="126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出生年份</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职称</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职务</w:t>
            </w:r>
          </w:p>
        </w:tc>
        <w:tc>
          <w:tcPr>
            <w:tcW w:w="9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国别</w:t>
            </w:r>
          </w:p>
        </w:tc>
        <w:tc>
          <w:tcPr>
            <w:tcW w:w="146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工作单位</w:t>
            </w:r>
          </w:p>
        </w:tc>
        <w:tc>
          <w:tcPr>
            <w:tcW w:w="851"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类型</w:t>
            </w:r>
          </w:p>
        </w:tc>
        <w:tc>
          <w:tcPr>
            <w:tcW w:w="1194"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5" w:hRule="atLeast"/>
          <w:jc w:val="center"/>
        </w:trPr>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高东升</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男</w:t>
            </w:r>
          </w:p>
        </w:tc>
        <w:tc>
          <w:tcPr>
            <w:tcW w:w="126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教授</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副校长</w:t>
            </w:r>
          </w:p>
        </w:tc>
        <w:tc>
          <w:tcPr>
            <w:tcW w:w="98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w:t>
            </w:r>
          </w:p>
        </w:tc>
        <w:tc>
          <w:tcPr>
            <w:tcW w:w="1460"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山东农业大学</w:t>
            </w:r>
          </w:p>
        </w:tc>
        <w:tc>
          <w:tcPr>
            <w:tcW w:w="851" w:type="dxa"/>
            <w:tcBorders>
              <w:top w:val="single" w:color="auto" w:sz="6" w:space="0"/>
              <w:left w:val="single" w:color="auto" w:sz="4" w:space="0"/>
              <w:bottom w:val="single" w:color="auto" w:sz="6" w:space="0"/>
              <w:right w:val="single" w:color="auto" w:sz="4"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1194" w:type="dxa"/>
            <w:tcBorders>
              <w:top w:val="single" w:color="auto" w:sz="6" w:space="0"/>
              <w:left w:val="single" w:color="auto" w:sz="4"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hint="eastAsia" w:ascii="Times New Roman" w:hAnsi="Times New Roman" w:eastAsia="仿宋" w:cs="Times New Roman"/>
                <w:color w:val="000000" w:themeColor="text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8" w:hRule="atLeast"/>
          <w:jc w:val="center"/>
        </w:trPr>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高俊平</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男</w:t>
            </w:r>
          </w:p>
        </w:tc>
        <w:tc>
          <w:tcPr>
            <w:tcW w:w="126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教授</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副校长</w:t>
            </w:r>
          </w:p>
        </w:tc>
        <w:tc>
          <w:tcPr>
            <w:tcW w:w="98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w:t>
            </w:r>
          </w:p>
        </w:tc>
        <w:tc>
          <w:tcPr>
            <w:tcW w:w="1460"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中国农业大学</w:t>
            </w:r>
          </w:p>
        </w:tc>
        <w:tc>
          <w:tcPr>
            <w:tcW w:w="851" w:type="dxa"/>
            <w:tcBorders>
              <w:top w:val="single" w:color="auto" w:sz="6" w:space="0"/>
              <w:left w:val="single" w:color="auto" w:sz="4" w:space="0"/>
              <w:bottom w:val="single" w:color="auto" w:sz="6" w:space="0"/>
              <w:right w:val="single" w:color="auto" w:sz="4"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1194" w:type="dxa"/>
            <w:tcBorders>
              <w:top w:val="single" w:color="auto" w:sz="6" w:space="0"/>
              <w:left w:val="single" w:color="auto" w:sz="4"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hint="eastAsia" w:ascii="Times New Roman" w:hAnsi="Times New Roman" w:eastAsia="仿宋" w:cs="Times New Roman"/>
                <w:color w:val="000000" w:themeColor="text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8" w:hRule="atLeast"/>
          <w:jc w:val="center"/>
        </w:trPr>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3</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罗正荣</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男</w:t>
            </w:r>
          </w:p>
        </w:tc>
        <w:tc>
          <w:tcPr>
            <w:tcW w:w="126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教授</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98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w:t>
            </w:r>
          </w:p>
        </w:tc>
        <w:tc>
          <w:tcPr>
            <w:tcW w:w="1460"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华中农业大学</w:t>
            </w:r>
          </w:p>
        </w:tc>
        <w:tc>
          <w:tcPr>
            <w:tcW w:w="851" w:type="dxa"/>
            <w:tcBorders>
              <w:top w:val="single" w:color="auto" w:sz="6" w:space="0"/>
              <w:left w:val="single" w:color="auto" w:sz="4" w:space="0"/>
              <w:bottom w:val="single" w:color="auto" w:sz="6" w:space="0"/>
              <w:right w:val="single" w:color="auto" w:sz="4"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1194" w:type="dxa"/>
            <w:tcBorders>
              <w:top w:val="single" w:color="auto" w:sz="6" w:space="0"/>
              <w:left w:val="single" w:color="auto" w:sz="4"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hint="eastAsia" w:ascii="Times New Roman" w:hAnsi="Times New Roman" w:eastAsia="仿宋" w:cs="Times New Roman"/>
                <w:color w:val="000000" w:themeColor="text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8" w:hRule="atLeast"/>
          <w:jc w:val="center"/>
        </w:trPr>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4</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叶志彪</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男</w:t>
            </w:r>
          </w:p>
        </w:tc>
        <w:tc>
          <w:tcPr>
            <w:tcW w:w="126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教授</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98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w:t>
            </w:r>
          </w:p>
        </w:tc>
        <w:tc>
          <w:tcPr>
            <w:tcW w:w="1460"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华中农业大学</w:t>
            </w:r>
          </w:p>
        </w:tc>
        <w:tc>
          <w:tcPr>
            <w:tcW w:w="851" w:type="dxa"/>
            <w:tcBorders>
              <w:top w:val="single" w:color="auto" w:sz="6" w:space="0"/>
              <w:left w:val="single" w:color="auto" w:sz="4" w:space="0"/>
              <w:bottom w:val="single" w:color="auto" w:sz="6" w:space="0"/>
              <w:right w:val="single" w:color="auto" w:sz="4"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1194" w:type="dxa"/>
            <w:tcBorders>
              <w:top w:val="single" w:color="auto" w:sz="6" w:space="0"/>
              <w:left w:val="single" w:color="auto" w:sz="4"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hint="eastAsia" w:ascii="Times New Roman" w:hAnsi="Times New Roman" w:eastAsia="仿宋" w:cs="Times New Roman"/>
                <w:color w:val="000000" w:themeColor="text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8" w:hRule="atLeast"/>
          <w:jc w:val="center"/>
        </w:trPr>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5</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郭世荣</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男</w:t>
            </w:r>
          </w:p>
        </w:tc>
        <w:tc>
          <w:tcPr>
            <w:tcW w:w="126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教授</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98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w:t>
            </w:r>
          </w:p>
        </w:tc>
        <w:tc>
          <w:tcPr>
            <w:tcW w:w="1460"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南京农业大学</w:t>
            </w:r>
          </w:p>
        </w:tc>
        <w:tc>
          <w:tcPr>
            <w:tcW w:w="851" w:type="dxa"/>
            <w:tcBorders>
              <w:top w:val="single" w:color="auto" w:sz="6" w:space="0"/>
              <w:left w:val="single" w:color="auto" w:sz="4" w:space="0"/>
              <w:bottom w:val="single" w:color="auto" w:sz="6" w:space="0"/>
              <w:right w:val="single" w:color="auto" w:sz="4"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1194" w:type="dxa"/>
            <w:tcBorders>
              <w:top w:val="single" w:color="auto" w:sz="6" w:space="0"/>
              <w:left w:val="single" w:color="auto" w:sz="4"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hint="eastAsia" w:ascii="Times New Roman" w:hAnsi="Times New Roman" w:eastAsia="仿宋" w:cs="Times New Roman"/>
                <w:color w:val="000000" w:themeColor="text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8" w:hRule="atLeast"/>
          <w:jc w:val="center"/>
        </w:trPr>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6</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马锋旺</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男</w:t>
            </w:r>
          </w:p>
        </w:tc>
        <w:tc>
          <w:tcPr>
            <w:tcW w:w="126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教授</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98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w:t>
            </w:r>
          </w:p>
        </w:tc>
        <w:tc>
          <w:tcPr>
            <w:tcW w:w="1460"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西北农林科技大学</w:t>
            </w:r>
          </w:p>
        </w:tc>
        <w:tc>
          <w:tcPr>
            <w:tcW w:w="851" w:type="dxa"/>
            <w:tcBorders>
              <w:top w:val="single" w:color="auto" w:sz="6" w:space="0"/>
              <w:left w:val="single" w:color="auto" w:sz="4" w:space="0"/>
              <w:bottom w:val="single" w:color="auto" w:sz="6" w:space="0"/>
              <w:right w:val="single" w:color="auto" w:sz="4"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1194" w:type="dxa"/>
            <w:tcBorders>
              <w:top w:val="single" w:color="auto" w:sz="6" w:space="0"/>
              <w:left w:val="single" w:color="auto" w:sz="4" w:space="0"/>
              <w:bottom w:val="single" w:color="auto" w:sz="6" w:space="0"/>
              <w:right w:val="single" w:color="auto" w:sz="6" w:space="0"/>
            </w:tcBorders>
            <w:vAlign w:val="center"/>
          </w:tcPr>
          <w:p>
            <w:pPr>
              <w:ind w:left="-105" w:leftChars="-50" w:right="-105" w:rightChars="-50"/>
              <w:jc w:val="center"/>
              <w:rPr>
                <w:rFonts w:hint="eastAsia" w:ascii="Times New Roman" w:hAnsi="Times New Roman" w:eastAsia="仿宋" w:cs="Times New Roman"/>
                <w:color w:val="000000" w:themeColor="text1"/>
                <w:szCs w:val="21"/>
                <w:lang w:eastAsia="zh-CN"/>
              </w:rPr>
            </w:pPr>
            <w:r>
              <w:rPr>
                <w:rFonts w:hint="eastAsia" w:ascii="Times New Roman" w:hAnsi="Times New Roman" w:eastAsia="仿宋" w:cs="Times New Roman"/>
                <w:color w:val="000000" w:themeColor="text1"/>
                <w:szCs w:val="21"/>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8" w:hRule="atLeast"/>
          <w:jc w:val="center"/>
        </w:trPr>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7</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邹志荣</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男</w:t>
            </w:r>
          </w:p>
        </w:tc>
        <w:tc>
          <w:tcPr>
            <w:tcW w:w="126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教授</w:t>
            </w:r>
          </w:p>
        </w:tc>
        <w:tc>
          <w:tcPr>
            <w:tcW w:w="70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981"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w:t>
            </w:r>
          </w:p>
        </w:tc>
        <w:tc>
          <w:tcPr>
            <w:tcW w:w="1460" w:type="dxa"/>
            <w:tcBorders>
              <w:top w:val="single" w:color="auto" w:sz="6" w:space="0"/>
              <w:left w:val="single" w:color="auto" w:sz="6" w:space="0"/>
              <w:bottom w:val="single" w:color="auto" w:sz="6" w:space="0"/>
              <w:right w:val="single" w:color="auto" w:sz="6" w:space="0"/>
            </w:tcBorders>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西北农林科技大学</w:t>
            </w:r>
          </w:p>
        </w:tc>
        <w:tc>
          <w:tcPr>
            <w:tcW w:w="851" w:type="dxa"/>
            <w:tcBorders>
              <w:top w:val="single" w:color="auto" w:sz="6" w:space="0"/>
              <w:left w:val="single" w:color="auto" w:sz="4" w:space="0"/>
              <w:bottom w:val="single" w:color="auto" w:sz="6" w:space="0"/>
              <w:right w:val="single" w:color="auto" w:sz="4" w:space="0"/>
            </w:tcBorders>
            <w:vAlign w:val="center"/>
          </w:tcPr>
          <w:p>
            <w:pPr>
              <w:ind w:left="-105" w:leftChars="-50" w:right="-105" w:rightChars="-50"/>
              <w:jc w:val="center"/>
              <w:rPr>
                <w:rFonts w:ascii="Times New Roman" w:hAnsi="Times New Roman" w:eastAsia="仿宋" w:cs="Times New Roman"/>
                <w:color w:val="000000" w:themeColor="text1"/>
                <w:szCs w:val="21"/>
              </w:rPr>
            </w:pPr>
          </w:p>
        </w:tc>
        <w:tc>
          <w:tcPr>
            <w:tcW w:w="1194" w:type="dxa"/>
            <w:tcBorders>
              <w:top w:val="single" w:color="auto" w:sz="6" w:space="0"/>
              <w:left w:val="single" w:color="auto" w:sz="4" w:space="0"/>
              <w:bottom w:val="single" w:color="auto" w:sz="6" w:space="0"/>
              <w:right w:val="single" w:color="auto" w:sz="6" w:space="0"/>
            </w:tcBorders>
            <w:vAlign w:val="center"/>
          </w:tcPr>
          <w:p>
            <w:pPr>
              <w:ind w:left="-105" w:leftChars="-50" w:right="-105" w:rightChars="-50"/>
              <w:jc w:val="center"/>
              <w:rPr>
                <w:rFonts w:hint="eastAsia" w:ascii="Times New Roman" w:hAnsi="Times New Roman" w:eastAsia="仿宋" w:cs="Times New Roman"/>
                <w:color w:val="000000" w:themeColor="text1"/>
                <w:szCs w:val="21"/>
                <w:lang w:eastAsia="zh-CN"/>
              </w:rPr>
            </w:pPr>
            <w:r>
              <w:rPr>
                <w:rFonts w:hint="eastAsia" w:ascii="Times New Roman" w:hAnsi="Times New Roman" w:eastAsia="仿宋" w:cs="Times New Roman"/>
                <w:color w:val="000000" w:themeColor="text1"/>
                <w:szCs w:val="21"/>
                <w:lang w:val="en-US" w:eastAsia="zh-CN"/>
              </w:rPr>
              <w:t>1</w:t>
            </w:r>
          </w:p>
        </w:tc>
      </w:tr>
    </w:tbl>
    <w:p>
      <w:pPr>
        <w:spacing w:before="156" w:beforeLines="50"/>
        <w:ind w:firstLine="420" w:firstLineChars="200"/>
        <w:rPr>
          <w:rFonts w:ascii="Times New Roman" w:hAnsi="Times New Roman" w:eastAsia="楷体" w:cs="Times New Roman"/>
          <w:bCs/>
          <w:color w:val="000000" w:themeColor="text1"/>
          <w:sz w:val="24"/>
          <w:szCs w:val="24"/>
        </w:rPr>
      </w:pPr>
      <w:r>
        <w:rPr>
          <w:rFonts w:ascii="Times New Roman" w:hAnsi="Times New Roman" w:eastAsia="楷体" w:cs="Times New Roman"/>
          <w:bCs/>
          <w:color w:val="000000" w:themeColor="text1"/>
          <w:szCs w:val="21"/>
        </w:rPr>
        <w:t>注：（1）教学指导委员会类型包括校内专家、外校专家、企业专家和外籍专家。（2）职务：包括主任委员和委员两类。（3）参会次数：年度内参加教学指导委员</w:t>
      </w:r>
      <w:r>
        <w:rPr>
          <w:rFonts w:ascii="Times New Roman" w:hAnsi="Times New Roman" w:eastAsia="楷体" w:cs="Times New Roman"/>
          <w:bCs/>
          <w:color w:val="000000" w:themeColor="text1"/>
          <w:sz w:val="24"/>
          <w:szCs w:val="24"/>
        </w:rPr>
        <w:t>会会议的次数。</w:t>
      </w:r>
    </w:p>
    <w:p>
      <w:pPr>
        <w:widowControl/>
        <w:jc w:val="left"/>
        <w:rPr>
          <w:rFonts w:ascii="Times New Roman" w:hAnsi="Times New Roman" w:eastAsia="黑体" w:cs="Times New Roman"/>
          <w:b/>
          <w:color w:val="000000" w:themeColor="text1"/>
          <w:sz w:val="32"/>
          <w:szCs w:val="32"/>
        </w:rPr>
      </w:pPr>
      <w:r>
        <w:rPr>
          <w:rFonts w:ascii="Times New Roman" w:hAnsi="Times New Roman" w:eastAsia="黑体" w:cs="Times New Roman"/>
          <w:b/>
          <w:color w:val="000000" w:themeColor="text1"/>
          <w:sz w:val="32"/>
          <w:szCs w:val="32"/>
        </w:rPr>
        <w:br w:type="page"/>
      </w:r>
    </w:p>
    <w:p>
      <w:pPr>
        <w:pStyle w:val="3"/>
        <w:spacing w:before="156" w:beforeLines="50" w:after="156" w:afterLines="50" w:line="500" w:lineRule="exact"/>
        <w:rPr>
          <w:rFonts w:ascii="Times New Roman" w:hAnsi="Times New Roman" w:eastAsia="黑体" w:cs="Times New Roman"/>
          <w:b w:val="0"/>
          <w:color w:val="000000" w:themeColor="text1"/>
        </w:rPr>
      </w:pPr>
      <w:bookmarkStart w:id="139" w:name="_Toc535227436"/>
      <w:r>
        <w:rPr>
          <w:rFonts w:ascii="Times New Roman" w:hAnsi="Times New Roman" w:eastAsia="黑体" w:cs="Times New Roman"/>
          <w:b w:val="0"/>
          <w:color w:val="000000" w:themeColor="text1"/>
        </w:rPr>
        <w:t>五、信息化建设、开放运行和示范辐射情况</w:t>
      </w:r>
      <w:bookmarkEnd w:id="139"/>
    </w:p>
    <w:p>
      <w:pPr>
        <w:pStyle w:val="4"/>
        <w:spacing w:before="0" w:after="0" w:line="240" w:lineRule="auto"/>
        <w:ind w:firstLine="562" w:firstLineChars="200"/>
        <w:rPr>
          <w:rFonts w:ascii="Times New Roman" w:hAnsi="Times New Roman" w:eastAsia="楷体_GB2312" w:cs="Times New Roman"/>
          <w:color w:val="000000" w:themeColor="text1"/>
          <w:sz w:val="28"/>
          <w:szCs w:val="28"/>
        </w:rPr>
      </w:pPr>
      <w:bookmarkStart w:id="140" w:name="_Toc535227437"/>
      <w:r>
        <w:rPr>
          <w:rFonts w:ascii="Times New Roman" w:hAnsi="Times New Roman" w:eastAsia="楷体_GB2312" w:cs="Times New Roman"/>
          <w:color w:val="000000" w:themeColor="text1"/>
          <w:sz w:val="28"/>
          <w:szCs w:val="28"/>
        </w:rPr>
        <w:t>（一）信息化建设情况</w:t>
      </w:r>
      <w:bookmarkEnd w:id="140"/>
    </w:p>
    <w:tbl>
      <w:tblPr>
        <w:tblStyle w:val="23"/>
        <w:tblW w:w="860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362"/>
        <w:gridCol w:w="1531"/>
        <w:gridCol w:w="37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71" w:hRule="atLeast"/>
          <w:jc w:val="center"/>
        </w:trPr>
        <w:tc>
          <w:tcPr>
            <w:tcW w:w="3362"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中心网址</w:t>
            </w:r>
          </w:p>
        </w:tc>
        <w:tc>
          <w:tcPr>
            <w:tcW w:w="5240" w:type="dxa"/>
            <w:gridSpan w:val="2"/>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http://yyxysyjxzx.nwsuaf.edu.cn/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90" w:hRule="atLeast"/>
          <w:jc w:val="center"/>
        </w:trPr>
        <w:tc>
          <w:tcPr>
            <w:tcW w:w="3362"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中心网址年度访问总量</w:t>
            </w:r>
          </w:p>
        </w:tc>
        <w:tc>
          <w:tcPr>
            <w:tcW w:w="5240" w:type="dxa"/>
            <w:gridSpan w:val="2"/>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65108人次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90" w:hRule="atLeast"/>
          <w:jc w:val="center"/>
        </w:trPr>
        <w:tc>
          <w:tcPr>
            <w:tcW w:w="3362"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信息化资源总量</w:t>
            </w:r>
          </w:p>
        </w:tc>
        <w:tc>
          <w:tcPr>
            <w:tcW w:w="5240" w:type="dxa"/>
            <w:gridSpan w:val="2"/>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11811.43 Mb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7" w:hRule="atLeast"/>
          <w:jc w:val="center"/>
        </w:trPr>
        <w:tc>
          <w:tcPr>
            <w:tcW w:w="3362"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信息化资源年度更新量</w:t>
            </w:r>
          </w:p>
        </w:tc>
        <w:tc>
          <w:tcPr>
            <w:tcW w:w="5240" w:type="dxa"/>
            <w:gridSpan w:val="2"/>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650Mb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90" w:hRule="atLeast"/>
          <w:jc w:val="center"/>
        </w:trPr>
        <w:tc>
          <w:tcPr>
            <w:tcW w:w="3362"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虚拟仿真实验教学项目</w:t>
            </w:r>
          </w:p>
        </w:tc>
        <w:tc>
          <w:tcPr>
            <w:tcW w:w="5240" w:type="dxa"/>
            <w:gridSpan w:val="2"/>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4" w:hRule="atLeast"/>
          <w:jc w:val="center"/>
        </w:trPr>
        <w:tc>
          <w:tcPr>
            <w:tcW w:w="3362" w:type="dxa"/>
            <w:vMerge w:val="restart"/>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中心信息化工作联系人</w:t>
            </w:r>
          </w:p>
        </w:tc>
        <w:tc>
          <w:tcPr>
            <w:tcW w:w="1531" w:type="dxa"/>
            <w:vAlign w:val="center"/>
          </w:tcPr>
          <w:p>
            <w:pPr>
              <w:jc w:val="center"/>
              <w:rPr>
                <w:rFonts w:ascii="Times New Roman" w:hAnsi="Times New Roman" w:eastAsia="楷体" w:cs="Times New Roman"/>
                <w:color w:val="000000" w:themeColor="text1"/>
                <w:szCs w:val="21"/>
              </w:rPr>
            </w:pPr>
            <w:r>
              <w:rPr>
                <w:rFonts w:ascii="Times New Roman" w:hAnsi="Times New Roman" w:eastAsia="楷体" w:cs="Times New Roman"/>
                <w:color w:val="000000" w:themeColor="text1"/>
                <w:szCs w:val="21"/>
              </w:rPr>
              <w:t>姓名</w:t>
            </w:r>
          </w:p>
        </w:tc>
        <w:tc>
          <w:tcPr>
            <w:tcW w:w="3709"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王西芳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4" w:hRule="atLeast"/>
          <w:jc w:val="center"/>
        </w:trPr>
        <w:tc>
          <w:tcPr>
            <w:tcW w:w="3362" w:type="dxa"/>
            <w:vMerge w:val="continue"/>
            <w:vAlign w:val="center"/>
          </w:tcPr>
          <w:p>
            <w:pPr>
              <w:jc w:val="center"/>
              <w:rPr>
                <w:rFonts w:ascii="Times New Roman" w:hAnsi="Times New Roman" w:eastAsia="仿宋" w:cs="Times New Roman"/>
                <w:color w:val="000000" w:themeColor="text1"/>
                <w:szCs w:val="21"/>
              </w:rPr>
            </w:pPr>
          </w:p>
        </w:tc>
        <w:tc>
          <w:tcPr>
            <w:tcW w:w="1531" w:type="dxa"/>
            <w:vAlign w:val="center"/>
          </w:tcPr>
          <w:p>
            <w:pPr>
              <w:jc w:val="center"/>
              <w:rPr>
                <w:rFonts w:ascii="Times New Roman" w:hAnsi="Times New Roman" w:eastAsia="楷体" w:cs="Times New Roman"/>
                <w:color w:val="000000" w:themeColor="text1"/>
                <w:szCs w:val="21"/>
              </w:rPr>
            </w:pPr>
            <w:r>
              <w:rPr>
                <w:rFonts w:ascii="Times New Roman" w:hAnsi="Times New Roman" w:eastAsia="楷体" w:cs="Times New Roman"/>
                <w:color w:val="000000" w:themeColor="text1"/>
                <w:szCs w:val="21"/>
              </w:rPr>
              <w:t>移动电话</w:t>
            </w:r>
          </w:p>
        </w:tc>
        <w:tc>
          <w:tcPr>
            <w:tcW w:w="3709"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13892872332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4" w:hRule="atLeast"/>
          <w:jc w:val="center"/>
        </w:trPr>
        <w:tc>
          <w:tcPr>
            <w:tcW w:w="3362" w:type="dxa"/>
            <w:vMerge w:val="continue"/>
            <w:vAlign w:val="center"/>
          </w:tcPr>
          <w:p>
            <w:pPr>
              <w:jc w:val="center"/>
              <w:rPr>
                <w:rFonts w:ascii="Times New Roman" w:hAnsi="Times New Roman" w:eastAsia="仿宋" w:cs="Times New Roman"/>
                <w:color w:val="000000" w:themeColor="text1"/>
                <w:szCs w:val="21"/>
              </w:rPr>
            </w:pPr>
          </w:p>
        </w:tc>
        <w:tc>
          <w:tcPr>
            <w:tcW w:w="1531" w:type="dxa"/>
            <w:vAlign w:val="center"/>
          </w:tcPr>
          <w:p>
            <w:pPr>
              <w:jc w:val="center"/>
              <w:rPr>
                <w:rFonts w:ascii="Times New Roman" w:hAnsi="Times New Roman" w:eastAsia="楷体" w:cs="Times New Roman"/>
                <w:color w:val="000000" w:themeColor="text1"/>
                <w:szCs w:val="21"/>
              </w:rPr>
            </w:pPr>
            <w:r>
              <w:rPr>
                <w:rFonts w:ascii="Times New Roman" w:hAnsi="Times New Roman" w:eastAsia="楷体" w:cs="Times New Roman"/>
                <w:color w:val="000000" w:themeColor="text1"/>
                <w:szCs w:val="21"/>
              </w:rPr>
              <w:t>电子邮箱</w:t>
            </w:r>
          </w:p>
        </w:tc>
        <w:tc>
          <w:tcPr>
            <w:tcW w:w="3709"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wxfang@nwsuaf.edu.cn</w:t>
            </w:r>
          </w:p>
        </w:tc>
      </w:tr>
    </w:tbl>
    <w:p>
      <w:pPr>
        <w:pStyle w:val="4"/>
        <w:spacing w:before="0" w:after="0" w:line="240" w:lineRule="auto"/>
        <w:ind w:firstLine="562" w:firstLineChars="200"/>
        <w:rPr>
          <w:rFonts w:ascii="Times New Roman" w:hAnsi="Times New Roman" w:eastAsia="楷体_GB2312" w:cs="Times New Roman"/>
          <w:color w:val="000000" w:themeColor="text1"/>
          <w:sz w:val="28"/>
          <w:szCs w:val="28"/>
        </w:rPr>
      </w:pPr>
      <w:bookmarkStart w:id="141" w:name="_Toc535227438"/>
      <w:r>
        <w:rPr>
          <w:rFonts w:ascii="Times New Roman" w:hAnsi="Times New Roman" w:eastAsia="楷体_GB2312" w:cs="Times New Roman"/>
          <w:color w:val="000000" w:themeColor="text1"/>
          <w:sz w:val="28"/>
          <w:szCs w:val="28"/>
        </w:rPr>
        <w:t>（二）开放运行和示范辐射情况</w:t>
      </w:r>
      <w:bookmarkEnd w:id="141"/>
    </w:p>
    <w:p>
      <w:pPr>
        <w:spacing w:before="156" w:beforeLines="50" w:after="156" w:afterLines="50"/>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1</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参加示范中心联席会活动情况</w:t>
      </w:r>
    </w:p>
    <w:tbl>
      <w:tblPr>
        <w:tblStyle w:val="23"/>
        <w:tblW w:w="8628"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59"/>
        <w:gridCol w:w="40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2" w:hRule="atLeast"/>
          <w:jc w:val="center"/>
        </w:trPr>
        <w:tc>
          <w:tcPr>
            <w:tcW w:w="4559" w:type="dxa"/>
            <w:vAlign w:val="center"/>
          </w:tcPr>
          <w:p>
            <w:pPr>
              <w:spacing w:before="156" w:beforeLines="5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所在示范中心联席会学科组名称</w:t>
            </w:r>
          </w:p>
        </w:tc>
        <w:tc>
          <w:tcPr>
            <w:tcW w:w="4069" w:type="dxa"/>
            <w:vAlign w:val="center"/>
          </w:tcPr>
          <w:p>
            <w:pPr>
              <w:spacing w:before="156" w:beforeLines="50"/>
              <w:jc w:val="center"/>
              <w:rPr>
                <w:rFonts w:ascii="Times New Roman" w:hAnsi="Times New Roman" w:eastAsia="仿宋" w:cs="Times New Roman"/>
                <w:color w:val="000000" w:themeColor="text1"/>
                <w:szCs w:val="21"/>
              </w:rPr>
            </w:pPr>
            <w:r>
              <w:rPr>
                <w:rFonts w:ascii="Times New Roman" w:hAnsi="Times New Roman" w:cs="Times New Roman"/>
                <w:color w:val="000000" w:themeColor="text1"/>
                <w:szCs w:val="21"/>
              </w:rPr>
              <w:t>中国高等教育学会实验室管理工作分会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70" w:hRule="atLeast"/>
          <w:jc w:val="center"/>
        </w:trPr>
        <w:tc>
          <w:tcPr>
            <w:tcW w:w="4559" w:type="dxa"/>
            <w:vAlign w:val="center"/>
          </w:tcPr>
          <w:p>
            <w:pPr>
              <w:spacing w:before="156" w:beforeLines="50"/>
              <w:ind w:firstLine="420" w:firstLineChars="20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参加活动的人次数</w:t>
            </w:r>
          </w:p>
        </w:tc>
        <w:tc>
          <w:tcPr>
            <w:tcW w:w="4069" w:type="dxa"/>
            <w:vAlign w:val="center"/>
          </w:tcPr>
          <w:p>
            <w:pPr>
              <w:spacing w:before="156" w:beforeLine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2人次</w:t>
            </w:r>
          </w:p>
        </w:tc>
      </w:tr>
    </w:tbl>
    <w:p>
      <w:pPr>
        <w:spacing w:before="156" w:beforeLines="50" w:after="156" w:afterLines="50"/>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2</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承办大型会议情况</w:t>
      </w:r>
    </w:p>
    <w:tbl>
      <w:tblPr>
        <w:tblStyle w:val="22"/>
        <w:tblW w:w="8640" w:type="dxa"/>
        <w:jc w:val="center"/>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620"/>
        <w:gridCol w:w="1980"/>
        <w:gridCol w:w="1260"/>
        <w:gridCol w:w="896"/>
        <w:gridCol w:w="1264"/>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2" w:hRule="atLeast"/>
          <w:jc w:val="center"/>
        </w:trPr>
        <w:tc>
          <w:tcPr>
            <w:tcW w:w="720"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序号</w:t>
            </w:r>
          </w:p>
        </w:tc>
        <w:tc>
          <w:tcPr>
            <w:tcW w:w="1620"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会议名称</w:t>
            </w:r>
          </w:p>
        </w:tc>
        <w:tc>
          <w:tcPr>
            <w:tcW w:w="1980"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主办单位名称</w:t>
            </w:r>
          </w:p>
        </w:tc>
        <w:tc>
          <w:tcPr>
            <w:tcW w:w="1260"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会议主席</w:t>
            </w:r>
          </w:p>
        </w:tc>
        <w:tc>
          <w:tcPr>
            <w:tcW w:w="896"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参加</w:t>
            </w:r>
          </w:p>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人数</w:t>
            </w:r>
          </w:p>
        </w:tc>
        <w:tc>
          <w:tcPr>
            <w:tcW w:w="1264"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时间</w:t>
            </w:r>
          </w:p>
        </w:tc>
        <w:tc>
          <w:tcPr>
            <w:tcW w:w="900"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0"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w:t>
            </w:r>
          </w:p>
        </w:tc>
        <w:tc>
          <w:tcPr>
            <w:tcW w:w="1620"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rPr>
              <w:t>首届世界饮品大会</w:t>
            </w:r>
          </w:p>
        </w:tc>
        <w:tc>
          <w:tcPr>
            <w:tcW w:w="1980"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国际园艺学会、</w:t>
            </w:r>
          </w:p>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中国园艺学会、</w:t>
            </w:r>
          </w:p>
        </w:tc>
        <w:tc>
          <w:tcPr>
            <w:tcW w:w="1260" w:type="dxa"/>
            <w:vAlign w:val="center"/>
          </w:tcPr>
          <w:p>
            <w:pPr>
              <w:jc w:val="center"/>
              <w:rPr>
                <w:rFonts w:ascii="Times New Roman" w:hAnsi="Times New Roman" w:eastAsia="仿宋" w:cs="Times New Roman"/>
                <w:color w:val="000000" w:themeColor="text1"/>
                <w:szCs w:val="21"/>
              </w:rPr>
            </w:pPr>
          </w:p>
        </w:tc>
        <w:tc>
          <w:tcPr>
            <w:tcW w:w="896"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600</w:t>
            </w:r>
          </w:p>
        </w:tc>
        <w:tc>
          <w:tcPr>
            <w:tcW w:w="1264"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w:t>
            </w:r>
            <w:r>
              <w:rPr>
                <w:rFonts w:ascii="Times New Roman" w:hAnsi="Times New Roman" w:eastAsia="仿宋" w:cs="Times New Roman"/>
                <w:color w:val="000000" w:themeColor="text1"/>
              </w:rPr>
              <w:t xml:space="preserve"> 10月22日-25日</w:t>
            </w:r>
          </w:p>
        </w:tc>
        <w:tc>
          <w:tcPr>
            <w:tcW w:w="900"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全球性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8" w:hRule="atLeast"/>
          <w:jc w:val="center"/>
        </w:trPr>
        <w:tc>
          <w:tcPr>
            <w:tcW w:w="720" w:type="dxa"/>
            <w:vAlign w:val="center"/>
          </w:tcPr>
          <w:p>
            <w:pPr>
              <w:jc w:val="center"/>
              <w:rPr>
                <w:rFonts w:ascii="Times New Roman" w:hAnsi="Times New Roman" w:eastAsia="楷体" w:cs="Times New Roman"/>
                <w:color w:val="000000" w:themeColor="text1"/>
                <w:szCs w:val="21"/>
              </w:rPr>
            </w:pPr>
            <w:r>
              <w:rPr>
                <w:rFonts w:ascii="Times New Roman" w:hAnsi="Times New Roman" w:eastAsia="楷体" w:cs="Times New Roman"/>
                <w:color w:val="000000" w:themeColor="text1"/>
                <w:szCs w:val="21"/>
              </w:rPr>
              <w:t>2</w:t>
            </w:r>
          </w:p>
        </w:tc>
        <w:tc>
          <w:tcPr>
            <w:tcW w:w="1620"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第五届中国园艺学会青年分会学术研讨会</w:t>
            </w:r>
          </w:p>
        </w:tc>
        <w:tc>
          <w:tcPr>
            <w:tcW w:w="1980"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中国园艺学会</w:t>
            </w:r>
          </w:p>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西北农林科技大学园艺学院</w:t>
            </w:r>
          </w:p>
        </w:tc>
        <w:tc>
          <w:tcPr>
            <w:tcW w:w="1260"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马锋旺</w:t>
            </w:r>
          </w:p>
        </w:tc>
        <w:tc>
          <w:tcPr>
            <w:tcW w:w="896"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400</w:t>
            </w:r>
          </w:p>
        </w:tc>
        <w:tc>
          <w:tcPr>
            <w:tcW w:w="1264"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2018.7.7-7.11</w:t>
            </w:r>
          </w:p>
        </w:tc>
        <w:tc>
          <w:tcPr>
            <w:tcW w:w="900" w:type="dxa"/>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8" w:hRule="atLeast"/>
          <w:jc w:val="center"/>
        </w:trPr>
        <w:tc>
          <w:tcPr>
            <w:tcW w:w="720" w:type="dxa"/>
            <w:vAlign w:val="center"/>
          </w:tcPr>
          <w:p>
            <w:pPr>
              <w:jc w:val="center"/>
              <w:rPr>
                <w:rFonts w:ascii="Times New Roman" w:hAnsi="Times New Roman" w:eastAsia="楷体" w:cs="Times New Roman"/>
                <w:color w:val="000000" w:themeColor="text1"/>
                <w:szCs w:val="21"/>
              </w:rPr>
            </w:pPr>
          </w:p>
        </w:tc>
        <w:tc>
          <w:tcPr>
            <w:tcW w:w="1620" w:type="dxa"/>
            <w:vAlign w:val="center"/>
          </w:tcPr>
          <w:p>
            <w:pPr>
              <w:jc w:val="center"/>
              <w:rPr>
                <w:rFonts w:ascii="Times New Roman" w:hAnsi="Times New Roman" w:eastAsia="仿宋" w:cs="Times New Roman"/>
                <w:color w:val="000000" w:themeColor="text1"/>
                <w:szCs w:val="21"/>
              </w:rPr>
            </w:pPr>
          </w:p>
        </w:tc>
        <w:tc>
          <w:tcPr>
            <w:tcW w:w="1980" w:type="dxa"/>
            <w:vAlign w:val="center"/>
          </w:tcPr>
          <w:p>
            <w:pPr>
              <w:jc w:val="center"/>
              <w:rPr>
                <w:rFonts w:ascii="Times New Roman" w:hAnsi="Times New Roman" w:eastAsia="仿宋" w:cs="Times New Roman"/>
                <w:color w:val="000000" w:themeColor="text1"/>
                <w:szCs w:val="21"/>
              </w:rPr>
            </w:pPr>
          </w:p>
        </w:tc>
        <w:tc>
          <w:tcPr>
            <w:tcW w:w="1260" w:type="dxa"/>
            <w:vAlign w:val="center"/>
          </w:tcPr>
          <w:p>
            <w:pPr>
              <w:jc w:val="center"/>
              <w:rPr>
                <w:rFonts w:ascii="Times New Roman" w:hAnsi="Times New Roman" w:eastAsia="仿宋" w:cs="Times New Roman"/>
                <w:color w:val="000000" w:themeColor="text1"/>
                <w:szCs w:val="21"/>
              </w:rPr>
            </w:pPr>
          </w:p>
        </w:tc>
        <w:tc>
          <w:tcPr>
            <w:tcW w:w="896" w:type="dxa"/>
            <w:vAlign w:val="center"/>
          </w:tcPr>
          <w:p>
            <w:pPr>
              <w:jc w:val="center"/>
              <w:rPr>
                <w:rFonts w:ascii="Times New Roman" w:hAnsi="Times New Roman" w:eastAsia="仿宋" w:cs="Times New Roman"/>
                <w:color w:val="000000" w:themeColor="text1"/>
                <w:szCs w:val="21"/>
              </w:rPr>
            </w:pPr>
          </w:p>
        </w:tc>
        <w:tc>
          <w:tcPr>
            <w:tcW w:w="1264" w:type="dxa"/>
            <w:vAlign w:val="center"/>
          </w:tcPr>
          <w:p>
            <w:pPr>
              <w:jc w:val="center"/>
              <w:rPr>
                <w:rFonts w:ascii="Times New Roman" w:hAnsi="Times New Roman" w:eastAsia="仿宋" w:cs="Times New Roman"/>
                <w:color w:val="000000" w:themeColor="text1"/>
                <w:szCs w:val="21"/>
              </w:rPr>
            </w:pPr>
          </w:p>
        </w:tc>
        <w:tc>
          <w:tcPr>
            <w:tcW w:w="900" w:type="dxa"/>
            <w:vAlign w:val="center"/>
          </w:tcPr>
          <w:p>
            <w:pPr>
              <w:jc w:val="center"/>
              <w:rPr>
                <w:rFonts w:ascii="Times New Roman" w:hAnsi="Times New Roman" w:eastAsia="仿宋" w:cs="Times New Roman"/>
                <w:color w:val="000000" w:themeColor="text1"/>
                <w:szCs w:val="21"/>
              </w:rPr>
            </w:pPr>
          </w:p>
        </w:tc>
      </w:tr>
    </w:tbl>
    <w:p>
      <w:pPr>
        <w:spacing w:before="156" w:beforeLines="50"/>
        <w:ind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bCs/>
          <w:color w:val="000000" w:themeColor="text1"/>
          <w:szCs w:val="21"/>
        </w:rPr>
        <w:t>注</w:t>
      </w:r>
      <w:r>
        <w:rPr>
          <w:rFonts w:ascii="Times New Roman" w:hAnsi="Times New Roman" w:eastAsia="楷体" w:cs="Times New Roman"/>
          <w:color w:val="000000" w:themeColor="text1"/>
          <w:szCs w:val="21"/>
        </w:rPr>
        <w:t>：主办或协办由主管部门、一级学会或示范中心联席会批准的会议。请按全球性、区域性、双边性、全国性等排序，并在类型栏中标明。</w:t>
      </w:r>
    </w:p>
    <w:p>
      <w:pPr>
        <w:spacing w:before="50" w:after="156" w:afterLines="50"/>
        <w:ind w:firstLine="470" w:firstLineChars="196"/>
        <w:rPr>
          <w:rFonts w:ascii="Times New Roman" w:hAnsi="Times New Roman" w:eastAsia="黑体" w:cs="Times New Roman"/>
          <w:color w:val="000000" w:themeColor="text1"/>
          <w:sz w:val="24"/>
          <w:szCs w:val="24"/>
        </w:rPr>
      </w:pPr>
    </w:p>
    <w:p>
      <w:pPr>
        <w:spacing w:before="156" w:beforeLines="50"/>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3</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参加大型会议情况</w:t>
      </w:r>
    </w:p>
    <w:tbl>
      <w:tblPr>
        <w:tblStyle w:val="22"/>
        <w:tblW w:w="105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934"/>
        <w:gridCol w:w="1558"/>
        <w:gridCol w:w="1046"/>
        <w:gridCol w:w="1088"/>
        <w:gridCol w:w="2408"/>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29" w:type="dxa"/>
            <w:shd w:val="clear" w:color="auto" w:fill="auto"/>
            <w:noWrap/>
            <w:vAlign w:val="center"/>
          </w:tcPr>
          <w:p>
            <w:pPr>
              <w:widowControl/>
              <w:spacing w:line="320" w:lineRule="exact"/>
              <w:ind w:left="-63" w:leftChars="-30" w:right="-63" w:rightChars="-30"/>
              <w:jc w:val="center"/>
              <w:rPr>
                <w:rFonts w:ascii="黑体" w:hAnsi="黑体" w:eastAsia="黑体" w:cs="Times New Roman"/>
                <w:color w:val="000000" w:themeColor="text1"/>
                <w:kern w:val="0"/>
                <w:szCs w:val="21"/>
              </w:rPr>
            </w:pPr>
            <w:r>
              <w:rPr>
                <w:rFonts w:ascii="黑体" w:hAnsi="黑体" w:eastAsia="黑体" w:cs="Times New Roman"/>
                <w:color w:val="000000" w:themeColor="text1"/>
                <w:kern w:val="0"/>
                <w:szCs w:val="21"/>
              </w:rPr>
              <w:t>序号</w:t>
            </w:r>
          </w:p>
        </w:tc>
        <w:tc>
          <w:tcPr>
            <w:tcW w:w="934" w:type="dxa"/>
            <w:shd w:val="clear" w:color="auto" w:fill="auto"/>
            <w:noWrap/>
            <w:vAlign w:val="center"/>
          </w:tcPr>
          <w:p>
            <w:pPr>
              <w:widowControl/>
              <w:spacing w:line="320" w:lineRule="exact"/>
              <w:ind w:left="-63" w:leftChars="-30" w:right="-63" w:rightChars="-30"/>
              <w:jc w:val="center"/>
              <w:rPr>
                <w:rFonts w:ascii="黑体" w:hAnsi="黑体" w:eastAsia="黑体" w:cs="Times New Roman"/>
                <w:color w:val="000000" w:themeColor="text1"/>
                <w:kern w:val="0"/>
                <w:szCs w:val="21"/>
              </w:rPr>
            </w:pPr>
            <w:r>
              <w:rPr>
                <w:rFonts w:ascii="黑体" w:hAnsi="黑体" w:eastAsia="黑体" w:cs="Times New Roman"/>
                <w:color w:val="000000" w:themeColor="text1"/>
                <w:kern w:val="0"/>
                <w:szCs w:val="21"/>
              </w:rPr>
              <w:t>姓名</w:t>
            </w:r>
          </w:p>
        </w:tc>
        <w:tc>
          <w:tcPr>
            <w:tcW w:w="1558" w:type="dxa"/>
            <w:shd w:val="clear" w:color="auto" w:fill="auto"/>
            <w:noWrap/>
            <w:vAlign w:val="center"/>
          </w:tcPr>
          <w:p>
            <w:pPr>
              <w:widowControl/>
              <w:spacing w:line="320" w:lineRule="exact"/>
              <w:ind w:left="-63" w:leftChars="-30" w:right="-63" w:rightChars="-30"/>
              <w:jc w:val="center"/>
              <w:rPr>
                <w:rFonts w:ascii="黑体" w:hAnsi="黑体" w:eastAsia="黑体" w:cs="Times New Roman"/>
                <w:color w:val="000000" w:themeColor="text1"/>
                <w:kern w:val="0"/>
                <w:szCs w:val="21"/>
              </w:rPr>
            </w:pPr>
            <w:r>
              <w:rPr>
                <w:rFonts w:ascii="黑体" w:hAnsi="黑体" w:eastAsia="黑体" w:cs="Times New Roman"/>
                <w:color w:val="000000" w:themeColor="text1"/>
                <w:kern w:val="0"/>
                <w:szCs w:val="21"/>
              </w:rPr>
              <w:t>参会</w:t>
            </w:r>
          </w:p>
          <w:p>
            <w:pPr>
              <w:widowControl/>
              <w:spacing w:line="320" w:lineRule="exact"/>
              <w:ind w:left="-63" w:leftChars="-30" w:right="-63" w:rightChars="-30"/>
              <w:jc w:val="center"/>
              <w:rPr>
                <w:rFonts w:ascii="黑体" w:hAnsi="黑体" w:eastAsia="黑体" w:cs="Times New Roman"/>
                <w:color w:val="000000" w:themeColor="text1"/>
                <w:kern w:val="0"/>
                <w:szCs w:val="21"/>
              </w:rPr>
            </w:pPr>
            <w:r>
              <w:rPr>
                <w:rFonts w:ascii="黑体" w:hAnsi="黑体" w:eastAsia="黑体" w:cs="Times New Roman"/>
                <w:color w:val="000000" w:themeColor="text1"/>
                <w:kern w:val="0"/>
                <w:szCs w:val="21"/>
              </w:rPr>
              <w:t>时间</w:t>
            </w:r>
          </w:p>
        </w:tc>
        <w:tc>
          <w:tcPr>
            <w:tcW w:w="1046" w:type="dxa"/>
            <w:shd w:val="clear" w:color="auto" w:fill="auto"/>
            <w:noWrap/>
            <w:vAlign w:val="center"/>
          </w:tcPr>
          <w:p>
            <w:pPr>
              <w:widowControl/>
              <w:spacing w:line="320" w:lineRule="exact"/>
              <w:ind w:left="-63" w:leftChars="-30" w:right="-63" w:rightChars="-30"/>
              <w:jc w:val="center"/>
              <w:rPr>
                <w:rFonts w:ascii="黑体" w:hAnsi="黑体" w:eastAsia="黑体" w:cs="Times New Roman"/>
                <w:color w:val="000000" w:themeColor="text1"/>
                <w:kern w:val="0"/>
                <w:szCs w:val="21"/>
              </w:rPr>
            </w:pPr>
            <w:r>
              <w:rPr>
                <w:rFonts w:ascii="黑体" w:hAnsi="黑体" w:eastAsia="黑体" w:cs="Times New Roman"/>
                <w:color w:val="000000" w:themeColor="text1"/>
                <w:kern w:val="0"/>
                <w:szCs w:val="21"/>
              </w:rPr>
              <w:t>地址</w:t>
            </w:r>
          </w:p>
        </w:tc>
        <w:tc>
          <w:tcPr>
            <w:tcW w:w="1088" w:type="dxa"/>
            <w:shd w:val="clear" w:color="auto" w:fill="auto"/>
            <w:noWrap/>
            <w:vAlign w:val="center"/>
          </w:tcPr>
          <w:p>
            <w:pPr>
              <w:widowControl/>
              <w:spacing w:line="320" w:lineRule="exact"/>
              <w:ind w:left="-63" w:leftChars="-30" w:right="-63" w:rightChars="-30"/>
              <w:jc w:val="center"/>
              <w:rPr>
                <w:rFonts w:ascii="黑体" w:hAnsi="黑体" w:eastAsia="黑体" w:cs="Times New Roman"/>
                <w:color w:val="000000" w:themeColor="text1"/>
                <w:kern w:val="0"/>
                <w:szCs w:val="21"/>
              </w:rPr>
            </w:pPr>
            <w:r>
              <w:rPr>
                <w:rFonts w:ascii="黑体" w:hAnsi="黑体" w:eastAsia="黑体" w:cs="Times New Roman"/>
                <w:color w:val="000000" w:themeColor="text1"/>
                <w:kern w:val="0"/>
                <w:szCs w:val="21"/>
              </w:rPr>
              <w:t>会议级别</w:t>
            </w:r>
          </w:p>
        </w:tc>
        <w:tc>
          <w:tcPr>
            <w:tcW w:w="2408" w:type="dxa"/>
            <w:shd w:val="clear" w:color="auto" w:fill="auto"/>
            <w:noWrap/>
            <w:vAlign w:val="center"/>
          </w:tcPr>
          <w:p>
            <w:pPr>
              <w:widowControl/>
              <w:spacing w:line="320" w:lineRule="exact"/>
              <w:jc w:val="center"/>
              <w:rPr>
                <w:rFonts w:ascii="黑体" w:hAnsi="黑体" w:eastAsia="黑体" w:cs="Times New Roman"/>
                <w:color w:val="000000" w:themeColor="text1"/>
                <w:kern w:val="0"/>
                <w:szCs w:val="21"/>
              </w:rPr>
            </w:pPr>
            <w:r>
              <w:rPr>
                <w:rFonts w:ascii="黑体" w:hAnsi="黑体" w:eastAsia="黑体" w:cs="Times New Roman"/>
                <w:color w:val="000000" w:themeColor="text1"/>
                <w:kern w:val="0"/>
                <w:szCs w:val="21"/>
              </w:rPr>
              <w:t>会议名称</w:t>
            </w:r>
          </w:p>
        </w:tc>
        <w:tc>
          <w:tcPr>
            <w:tcW w:w="2881" w:type="dxa"/>
            <w:shd w:val="clear" w:color="auto" w:fill="auto"/>
            <w:noWrap/>
            <w:vAlign w:val="center"/>
          </w:tcPr>
          <w:p>
            <w:pPr>
              <w:widowControl/>
              <w:spacing w:line="320" w:lineRule="exact"/>
              <w:jc w:val="center"/>
              <w:rPr>
                <w:rFonts w:ascii="黑体" w:hAnsi="黑体" w:eastAsia="黑体" w:cs="Times New Roman"/>
                <w:color w:val="000000" w:themeColor="text1"/>
                <w:spacing w:val="-6"/>
                <w:kern w:val="0"/>
                <w:szCs w:val="21"/>
              </w:rPr>
            </w:pPr>
            <w:r>
              <w:rPr>
                <w:rFonts w:ascii="黑体" w:hAnsi="黑体" w:eastAsia="黑体" w:cs="Times New Roman"/>
                <w:color w:val="000000" w:themeColor="text1"/>
                <w:spacing w:val="-6"/>
                <w:kern w:val="0"/>
                <w:szCs w:val="21"/>
              </w:rPr>
              <w:t>报告题目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2018.5.8-</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2018.5.10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国家重点研发计划“蔬菜优异种质资源精准鉴定与创新利用”课题中期总结与学术交流会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“番茄种质资源创新与利用”项目研究进展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蔡宇良</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3.19-3.21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辽宁省瓦房店市</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中国樱桃年会暨全国设施大樱桃观摩展览会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《樱桃超细长纺锤型整形修剪技术研究进展》（报告人：蔡宇良）；《药敏纸片扩散法和E-test法在抑制植物组培细菌污染中的应用》（报告人：梁成林）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程智慧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2018.09.12-20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格林</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纳达</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Grenada Modern Agriculture Training Program</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1.Production of High Quality Vegetable Seedlings. 2.Vegetable Production with Use of Shading in General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余有本</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2018.2.5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浙江杭州</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国家茶叶产业技术体系.终总结会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2018年度汉中综合试验站述职报告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程智慧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2018.10.12-14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第八届黄瓜学术研讨会暨新品种展示观摩</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A modified protocol improves efficiency of Agrobacterium-mediated transformation in cucumber (Cucumis sativus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张显</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2018.08.12</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-2018.08.19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土耳其</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第三十届国际园艺学大会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A New Watermelon Cultivar —‘ShanNong No.4’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程智慧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2018.09.06-10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日本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The Fourth International Conference of Asia Allelopathy Society</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Allelopathic mechanism of garlic root exudates on vegetable crops under continous cropping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程智慧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2018.04.24-28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巴基斯坦</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International Horticulture Conference Pakistan</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Allelopathy of Green Garlic Volatiles on Cucumber and Its Disease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王乔春</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挪威</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生物技术育种</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Biotechnology：a doube-edged sword for plant pathogens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王晓峰</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2018/5/3-5/5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海南海口</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国内大会</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首届海上新丝路生命科学青年学术大会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BRI1和BAK1互作和磷酸化的研究揭示了植物受体激酶组成的信号转导界面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袁黎</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2018.7.20-24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第五届国际园艺研究大会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Central Cell Fate Determination, Apomixis and Watermelon Breeding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袁黎</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2018.7.7-8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园艺青年论坛</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CKI1决定植物雌配子中央细胞的命运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袁黎</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2018.8.23</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河南</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新乡</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第十三届全国植物结构与生殖生物学会议</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CKI1决定植物雌配子中央细胞的命运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张鲁刚</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12-16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土耳其</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国际园艺学会IHC2018</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Creation of purple Heading Chinese Cabbage and its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蒋程瑶</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20180419-</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20180422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寿光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2018第五届中国·寿光国际设施园艺研讨会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Effect of Abaxial Supplemental Lighting on the Expression of 14-3-3 Gene in Greenhouse Produced Tomato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高岳芳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2018.10.17-</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2018.10.20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安徽合肥</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第一届可可、咖啡和茶（亚洲）国际学术大会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Extraction, characterization and utilization of functional tea polysaccharides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王西平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43313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德国</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Sino-German Grapevine workshop</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Genes for seedless grapes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张显</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2018.11.12</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美国</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2018.国际葫芦科大会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Genome-Wide Identification of Calcium-Dependent Protein Kinase and its Related Kinase Gene Families in Cucurbitaceae Species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程智慧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2018.08.11-19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土耳其</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IHC 2018</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Identification and allelopathy mechanism of green garlic volatile on cucumber seedlings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王晓峰</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2018/8/1-8/4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San Diego, California, USA</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国际大会</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The 3rd International Brassinosteroid Conference</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Modify the BR signaling to improve agronomic characters of tomato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马锋旺</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2018.6.26-30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江苏南京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第九届国际蔷薇科基因组大会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RNA binding protein MhYTP2 enhances water use efficiency and drought tolerance by activating ABA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徐记迪</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2018.06.26</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-07.01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第九届国际蔷薇科基因组大会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Single-Base Methylome Analysis Reveals Dynamic Epigenomic Differences Associated with Water Deficit in 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程智慧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2018.06.22-24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福州</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中国生态学学会化学生态专业委员会和中国昆虫学会化学生态学专业委员</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The allelopathic effect of garlic root exudates and volatiles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刘国甜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22-</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德国</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hint="eastAsia"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hint="eastAsia" w:ascii="Times New Roman" w:hAnsi="Times New Roman" w:eastAsia="仿宋" w:cs="Times New Roman"/>
                <w:color w:val="000000" w:themeColor="text1"/>
                <w:kern w:val="0"/>
                <w:szCs w:val="21"/>
              </w:rPr>
              <w:t>第十二届葡萄遗传与育种大会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The functions of RxLR effectors of the oomycete pathogen P. viticola in grapevine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龚小庆</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2018.10.26-29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武汉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International Workshop on Plant Polyamines</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The role of polyamines and related genes in response to alkaline stress in 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杜羽</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29-30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国际论坛</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西北农林科技大学作物抗病论坛</w:t>
            </w:r>
          </w:p>
        </w:tc>
        <w:tc>
          <w:tcPr>
            <w:tcW w:w="2881" w:type="dxa"/>
            <w:shd w:val="clear" w:color="auto" w:fill="auto"/>
            <w:noWrap/>
            <w:vAlign w:val="center"/>
          </w:tcPr>
          <w:p>
            <w:pPr>
              <w:widowControl/>
              <w:spacing w:line="320" w:lineRule="exact"/>
              <w:ind w:right="-109" w:rightChars="-52"/>
              <w:jc w:val="left"/>
              <w:rPr>
                <w:rFonts w:ascii="Times New Roman" w:hAnsi="Times New Roman" w:eastAsia="仿宋" w:cs="Times New Roman"/>
                <w:color w:val="000000" w:themeColor="text1"/>
                <w:spacing w:val="-10"/>
                <w:kern w:val="0"/>
                <w:szCs w:val="21"/>
              </w:rPr>
            </w:pPr>
            <w:r>
              <w:rPr>
                <w:rFonts w:ascii="Times New Roman" w:hAnsi="Times New Roman" w:eastAsia="仿宋" w:cs="Times New Roman"/>
                <w:color w:val="000000" w:themeColor="text1"/>
                <w:spacing w:val="-10"/>
                <w:kern w:val="0"/>
                <w:szCs w:val="21"/>
              </w:rPr>
              <w:t>The</w:t>
            </w:r>
            <w:r>
              <w:rPr>
                <w:rFonts w:ascii="Times New Roman" w:hAnsi="Times New Roman" w:eastAsia="宋体" w:cs="Times New Roman"/>
                <w:color w:val="000000" w:themeColor="text1"/>
                <w:spacing w:val="-10"/>
                <w:kern w:val="0"/>
                <w:szCs w:val="21"/>
              </w:rPr>
              <w:t> </w:t>
            </w:r>
            <w:r>
              <w:rPr>
                <w:rFonts w:ascii="Times New Roman" w:hAnsi="Times New Roman" w:eastAsia="仿宋" w:cs="Times New Roman"/>
                <w:color w:val="000000" w:themeColor="text1"/>
                <w:spacing w:val="-10"/>
                <w:kern w:val="0"/>
                <w:szCs w:val="21"/>
              </w:rPr>
              <w:t>virulence</w:t>
            </w:r>
            <w:r>
              <w:rPr>
                <w:rFonts w:ascii="Times New Roman" w:hAnsi="Times New Roman" w:eastAsia="宋体" w:cs="Times New Roman"/>
                <w:color w:val="000000" w:themeColor="text1"/>
                <w:spacing w:val="-10"/>
                <w:kern w:val="0"/>
                <w:szCs w:val="21"/>
              </w:rPr>
              <w:t> </w:t>
            </w:r>
            <w:r>
              <w:rPr>
                <w:rFonts w:ascii="Times New Roman" w:hAnsi="Times New Roman" w:eastAsia="仿宋" w:cs="Times New Roman"/>
                <w:color w:val="000000" w:themeColor="text1"/>
                <w:spacing w:val="-10"/>
                <w:kern w:val="0"/>
                <w:szCs w:val="21"/>
              </w:rPr>
              <w:t>mechanism</w:t>
            </w:r>
            <w:r>
              <w:rPr>
                <w:rFonts w:ascii="Times New Roman" w:hAnsi="Times New Roman" w:eastAsia="宋体" w:cs="Times New Roman"/>
                <w:color w:val="000000" w:themeColor="text1"/>
                <w:spacing w:val="-10"/>
                <w:kern w:val="0"/>
                <w:szCs w:val="21"/>
              </w:rPr>
              <w:t> </w:t>
            </w:r>
            <w:r>
              <w:rPr>
                <w:rFonts w:ascii="Times New Roman" w:hAnsi="Times New Roman" w:eastAsia="仿宋" w:cs="Times New Roman"/>
                <w:color w:val="000000" w:themeColor="text1"/>
                <w:spacing w:val="-10"/>
                <w:kern w:val="0"/>
                <w:szCs w:val="21"/>
              </w:rPr>
              <w:t>of</w:t>
            </w:r>
            <w:r>
              <w:rPr>
                <w:rFonts w:ascii="Times New Roman" w:hAnsi="Times New Roman" w:eastAsia="宋体" w:cs="Times New Roman"/>
                <w:color w:val="000000" w:themeColor="text1"/>
                <w:spacing w:val="-10"/>
                <w:kern w:val="0"/>
                <w:szCs w:val="21"/>
              </w:rPr>
              <w:t> </w:t>
            </w:r>
            <w:r>
              <w:rPr>
                <w:rFonts w:ascii="Times New Roman" w:hAnsi="Times New Roman" w:eastAsia="仿宋" w:cs="Times New Roman"/>
                <w:color w:val="000000" w:themeColor="text1"/>
                <w:spacing w:val="-10"/>
                <w:kern w:val="0"/>
                <w:szCs w:val="21"/>
              </w:rPr>
              <w:t>Phytophthora</w:t>
            </w:r>
            <w:r>
              <w:rPr>
                <w:rFonts w:ascii="Times New Roman" w:hAnsi="Times New Roman" w:eastAsia="宋体" w:cs="Times New Roman"/>
                <w:color w:val="000000" w:themeColor="text1"/>
                <w:spacing w:val="-10"/>
                <w:kern w:val="0"/>
                <w:szCs w:val="21"/>
              </w:rPr>
              <w:t> </w:t>
            </w:r>
            <w:r>
              <w:rPr>
                <w:rFonts w:ascii="Times New Roman" w:hAnsi="Times New Roman" w:eastAsia="仿宋" w:cs="Times New Roman"/>
                <w:color w:val="000000" w:themeColor="text1"/>
                <w:spacing w:val="-10"/>
                <w:kern w:val="0"/>
                <w:szCs w:val="21"/>
              </w:rPr>
              <w:t>infestans</w:t>
            </w:r>
            <w:r>
              <w:rPr>
                <w:rFonts w:ascii="Times New Roman" w:hAnsi="Times New Roman" w:eastAsia="宋体" w:cs="Times New Roman"/>
                <w:color w:val="000000" w:themeColor="text1"/>
                <w:spacing w:val="-10"/>
                <w:kern w:val="0"/>
                <w:szCs w:val="21"/>
              </w:rPr>
              <w:t> </w:t>
            </w:r>
            <w:r>
              <w:rPr>
                <w:rFonts w:ascii="Times New Roman" w:hAnsi="Times New Roman" w:eastAsia="仿宋" w:cs="Times New Roman"/>
                <w:color w:val="000000" w:themeColor="text1"/>
                <w:spacing w:val="-10"/>
                <w:kern w:val="0"/>
                <w:szCs w:val="21"/>
              </w:rPr>
              <w:t>RXLR</w:t>
            </w:r>
            <w:r>
              <w:rPr>
                <w:rFonts w:ascii="Times New Roman" w:hAnsi="Times New Roman" w:eastAsia="宋体" w:cs="Times New Roman"/>
                <w:color w:val="000000" w:themeColor="text1"/>
                <w:spacing w:val="-10"/>
                <w:kern w:val="0"/>
                <w:szCs w:val="21"/>
              </w:rPr>
              <w:t> </w:t>
            </w:r>
            <w:r>
              <w:rPr>
                <w:rFonts w:ascii="Times New Roman" w:hAnsi="Times New Roman" w:eastAsia="仿宋" w:cs="Times New Roman"/>
                <w:color w:val="000000" w:themeColor="text1"/>
                <w:spacing w:val="-10"/>
                <w:kern w:val="0"/>
                <w:szCs w:val="21"/>
              </w:rPr>
              <w:t>effector</w:t>
            </w:r>
            <w:r>
              <w:rPr>
                <w:rFonts w:ascii="Times New Roman" w:hAnsi="Times New Roman" w:eastAsia="宋体" w:cs="Times New Roman"/>
                <w:color w:val="000000" w:themeColor="text1"/>
                <w:spacing w:val="-10"/>
                <w:kern w:val="0"/>
                <w:szCs w:val="21"/>
              </w:rPr>
              <w:t> </w:t>
            </w:r>
            <w:r>
              <w:rPr>
                <w:rFonts w:ascii="Times New Roman" w:hAnsi="Times New Roman" w:eastAsia="仿宋" w:cs="Times New Roman"/>
                <w:color w:val="000000" w:themeColor="text1"/>
                <w:spacing w:val="-10"/>
                <w:kern w:val="0"/>
                <w:szCs w:val="21"/>
              </w:rPr>
              <w:t>E49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刘长海</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2018.7.7-</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第五届中国园艺学会青年分会学术研讨会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YTH-domain RNA binding protein MhYTP2 enhances water use efficiency and drought tolerance by activating ABA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肖斌</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2018.4.13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商洛市</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市级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茶叶生产技术培训会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标准化茶园建设技术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杜羽</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43181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陕西西安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省体系</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陕西省马铃薯产业技术体系2017年度工作总结</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病害防控岗位2017年度工作总结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徐凌飞</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2018.11.25-27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河北</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邢台威县</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第九届梨科研生产产业化研讨会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不同激素诱导梨单性结实研究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高岳芳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2018.6.14-</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2018.6.16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福建</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大田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第八届茶学青年科学家论坛</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茶多糖的提取分离及其</w:t>
            </w:r>
          </w:p>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开发利用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张勇</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2018/9/12-9/14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泰安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国家级</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中国设施农业产业大会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超低能耗日光温室建筑节能研究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王乔春</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海口</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第八届全国果树病虫防治研讨会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超低温生物技术：病毒保存与脱毒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张恩慧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2018.11.17-18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河北</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武汉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十三五十字花科蔬菜育种项目与蔬菜杂优育种白菜、甘蓝课题阶段性进展交流会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甘蓝抗病优质适宜性强品种选育和技术创新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李征</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第五届中国园艺学会青年学者学术研讨会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黄瓜植株性别决定机制研究进展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文颖强</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2018.4.13-15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上海交通大学</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第四届全国浆果基础研究与应用基础研究学术研讨会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基因编辑技术在葡萄中的应用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巩振辉</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1.29-2.1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长春</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主要经济作物分子设计研讨会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辣椒主要经济性状分子标记的开发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杨振超</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7.19-28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日本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六次产业国际论坛</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六次产业的实践探索——西安都市农业试验示范站建设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杜羽</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于2018.7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7-9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国内会议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第五届中国园艺学会青年学者学术研讨会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马铃薯晚疫病菌效应蛋白E49的毒性机理研究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宫海军</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2018.10.17-19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青岛</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中国园艺学会2018年学术年会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模拟干旱和盐胁迫下番茄的水分吸收和质膜水通道蛋白的表达响应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曹晏飞</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2018.04-20</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4.22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山东寿光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第五届中国寿光国际设施园艺高层学术论坛</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耦合集热装置对主动通风蓄热系统的影响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徐记迪</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2018.07.06-08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第五届中国园艺学会青年分会学术研讨会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苹果非生物逆境胁迫中的表观调控研究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郭延平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2018.10.30</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十二五国家科技支撑计划课题“果树优质高效生产关键技术研究与示范”总结会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苹果肥水一体化技术集成与示范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赵政阳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3-6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山西省太谷</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国内会议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第五届全国果树资源研究与开发利用学术研讨会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苹果属种植资源收集和利用研究进展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张朝红</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2018.10.17-19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山东青岛</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中国园艺学会2018年学术年会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葡萄VvABCG14基因的功能分析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王跃进</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2018.10.17-19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山东青岛</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中国园艺学会2018年学术年会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葡萄芪合成酶基因的研究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肖斌</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2018.3.13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陕西商</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南县</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省级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茶叶生产技术培训会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陕西茶产业发展趋势与问题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肖斌</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2018.7.18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商南县</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县级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政协年会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商南县茶产业转型升级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杨勇</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19-22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山东临朐</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第9届全国柿科研与生产进展研讨会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柿饼质量标准与优质安全生产技术体系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惠麦侠</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2018.10.17-19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陕西大荔</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省级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设施蔬菜生产现场观摩及新技术交流会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蔬菜病虫害绿色防控新技术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赵尊练</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6.03-6.06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内蒙古巴彦淖尔</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北方地区蔬菜绿色生产技术培训</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蔬菜连作障碍的对策及绿色生产关键技术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王晓峰</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43286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广东广州</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专题报告</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邀请报告</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调控油菜素内酯信号通路组分的农学价值研究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李好</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2018.07.06</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-2018.07.08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中国园艺学会青年分会学术研讨会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褪黑素调控瓜类作物逆境抗性的信号传导机制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李建明</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上海</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中国温室产业大会暨中国温室园艺行业2018年会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温室大棚能源利用技术与遮阳保温材料研究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张显</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2018.10.17</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-2018.10.20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青岛</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中国园艺学会2018</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学术年会</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西瓜抗旱调控与节水栽培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李征</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第八届黄瓜学术研讨会暨新品种展示观摩活动</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乙烯响应因子ERF110介导的黄瓜、甜瓜性型基因调控研究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徐清山</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2018.7.21</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广西南宁</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2018年度教育部高等学校教学指导委员会茶学学科组会议</w:t>
            </w:r>
          </w:p>
        </w:tc>
        <w:tc>
          <w:tcPr>
            <w:tcW w:w="2881"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6"/>
                <w:kern w:val="0"/>
                <w:szCs w:val="21"/>
              </w:rPr>
            </w:pPr>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徐清山</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2018.7.21-2018.7.22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广西南宁</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2018年度教育部高等学校教学指导委员会茶学学科组会议</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59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徐清山</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2018.10.18</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安徽合肥</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第一届可可、咖啡和茶(亚洲)国际学术大会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宫海军</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2018.10.20-23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烟台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2018中国设施园艺学术年会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马长青</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2018.6</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26</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-30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南京农业大学</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第九届国际蔷薇科基因组会议</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逯明辉</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2018.10.12-15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中国园艺学会黄瓜分会第八届学术年会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2018.7.20</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-2018.7.24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第五届国际园艺研究大会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2018.10.18</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山东青岛</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中国园艺学会2018年学术年会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2018.8.5</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甘肃张掖</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中国园艺学会番茄分会2018学术年会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周天山</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广西南宁</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2018.茶学学科组会议</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余有本</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2018.9.23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安徽合肥</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2018全国非编码RNA研究策略培训班</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余有本</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10.17-20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安徽合肥</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第一届可可、咖啡、茶（亚洲）国际学术大会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李玉红</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12-15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第8届黄瓜学术会及新品种展示会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战祥强</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开封</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第三届全国植物逆境生物学学术研讨会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战祥强</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第五届中国园艺学会青年学者学术研讨会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肖斌</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广西三江县</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中国茶叶学会</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中国茶叶学会科技年会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肖斌</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2018.10.24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商南县</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县级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商南茶产业规划研讨会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张显</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2018.07.06-</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2018.07.08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中国园艺学会青年分会学术研讨会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冯嘉玥</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2018.10.18-22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山东泰安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ind w:right="-155" w:rightChars="-74"/>
              <w:jc w:val="left"/>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2018全国植物生物学大会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文颖强</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2018.7.15-21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法国波尔</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第12届国际葡萄遗传与育种大会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裘莉娟</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2018.11.24-25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乡村振兴-美丽乡村发展创新暨休闲农业策划运营专题研讨会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高华</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7.24-28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石家庄</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绿色可持续现代农业暨全国养分资源管理协作网2018年度学术大会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任小林</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43399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山东烟台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苹果生产研讨会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李翠英</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7月6-8日</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第五届中国园艺学会青年分会学术研讨会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李翠英</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43283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校级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中新联合苹果研究中心第一次学术研讨会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吕燕荣</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2018.6</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26-30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第九届国际蔷薇科基因组大会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吕燕荣</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6-9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第五届中国园艺学会青年分会学术研讨会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吕燕荣</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30-</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泰安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基因家族分析实操培训班</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刘振中</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3-6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山西省</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太谷</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国内会议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第五届全国果树资源研究与开发利用学术研讨会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阮小凤</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3.19-3.21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辽宁省</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瓦房店市</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中国樱桃年会暨全国设施大樱桃观摩展览会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何玲</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3.19-3.21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辽宁省</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瓦房店市</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中国樱桃年会暨全国设施大樱桃观摩展览会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饶景萍</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2018.10月19-22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山东省</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临朐县</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spacing w:val="-6"/>
                <w:kern w:val="0"/>
                <w:szCs w:val="21"/>
              </w:rPr>
            </w:pPr>
            <w:r>
              <w:rPr>
                <w:rFonts w:ascii="Times New Roman" w:hAnsi="Times New Roman" w:eastAsia="仿宋" w:cs="Times New Roman"/>
                <w:color w:val="000000" w:themeColor="text1"/>
                <w:spacing w:val="-6"/>
                <w:kern w:val="0"/>
                <w:szCs w:val="21"/>
              </w:rPr>
              <w:t>中国园艺学会柿分会</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第九届全国柿生产和科研进展研讨会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聂姗姗</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陕西西安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省</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陕西省遗传学会研究生论坛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聂姗姗</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第五届中国园艺学会青年分会学术研讨会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聂姗姗</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湖北武汉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第十四届全国十字花科蔬菜学术研讨会及新品种展示会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周会玲</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11.25-27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河北邢台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全国会议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第九届全国梨科研、生产与产业化研讨会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周会玲</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8.27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甘肃兰州</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全国会议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植物病理年会及采后分会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周会玲</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10.24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陕西渭南</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省</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果蔬标准化委员会工作总结及下</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计划</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惠麦侠</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2018.4.20-23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寿光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第九届中国（寿光）设施蔬菜品种展及蔬菜产业发展企业对接恳谈会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惠麦侠</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2018.7.6-9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成都</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第二届农作物病虫害绿色防控新技术交流会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惠麦侠</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2018.11.19-22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武汉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第十四届全国十字花科蔬菜学术研讨暨新品种展示会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曹晏飞</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2018.10.20</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10.23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山东烟台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2018中国设施园艺学术年会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99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陈儒钢</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10.17-10.19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青岛</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关长飞</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19-22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山东临朐</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第9届全国柿科研与生产进展研讨会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姚春潮</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2018.9.16-20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周至</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第七届全国猕猴桃研讨会暨中国猕猴桃科研产业四十周.纪念活动</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姚春潮</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郑州</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暨中国猕猴桃科研产业四十周.纪念活动</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姚春潮</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2018.7.27-29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哈尔滨</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中国园艺学会分子育种分会第一届学术年会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王伟东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2018.6.14-16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福建省</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大田县</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第八届茶学青年科学家论坛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王伟东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2018.6.19-20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陕西省</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西乡县</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全国茶园机械化生产装备技术培训及现场演示观摩会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王伟东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2018.7.6-9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陕西省</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杨凌区</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第五届中国园艺学会青年分会学术研讨会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王跃进</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16-22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法国波尔多</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第12届世界葡萄育种与遗传大会XII International Conference on Grape Breeding and Genetics</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邹养军</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2018.10.12-14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陕西洛川</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第十一届中国</w:t>
            </w:r>
            <w:r>
              <w:rPr>
                <w:rFonts w:ascii="Times New Roman" w:hAnsi="Times New Roman" w:eastAsia="宋体" w:cs="Times New Roman"/>
                <w:color w:val="000000" w:themeColor="text1"/>
                <w:kern w:val="0"/>
                <w:szCs w:val="21"/>
              </w:rPr>
              <w:t>•</w:t>
            </w:r>
            <w:r>
              <w:rPr>
                <w:rFonts w:ascii="Times New Roman" w:hAnsi="Times New Roman" w:eastAsia="仿宋" w:cs="Times New Roman"/>
                <w:color w:val="000000" w:themeColor="text1"/>
                <w:kern w:val="0"/>
                <w:szCs w:val="21"/>
              </w:rPr>
              <w:t>陕西（洛川）国际苹果博览会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邹养军</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2018.10.26-29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山东蓬莱</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全国苹果产业发展高峰论坛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王西平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43282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法国波</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尔多</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XII International conference on grapevine breeding and genetics</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张鲁刚</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18</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武汉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中国园艺学会第十四次全国会员代表大会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蒋程瑶</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7-</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第五届中国园艺学会青年分会学术研讨会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蒋程瑶</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10</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20-</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10</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山东烟台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2018中国设施园艺学术年会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张明科</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6.7-9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国家大宗蔬菜产业技术体系新型温室结构与节能技术观摩与研讨会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张明科</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4.20-22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寿光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第九届中国（寿光）设施蔬菜品种展暨蔬菜产业发展论坛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张明科</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10.17-19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大荔</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省级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设施蔬菜生产现场观摩交流会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张明科</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11.18-19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武汉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国家重点研发计划“七大农作物育种”专项</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张明科</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11.20-22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武汉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第十四届十字花科蔬菜学术研讨暨新品种展示会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119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张剑侠</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2018.7.15-21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法国波</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尔多</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Grapevine Breeding and Genetics 2018</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杜羽</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2018.4</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8-12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山东泰安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国际卵菌分子遗传学年会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胡晓辉</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2018.8-11-8.16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土耳其</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第30届国际园艺学会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胡晓辉</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2018.10.20-23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烟台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设施园艺年会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胡晓辉</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2018.12.4-6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沈阳</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第285场中国工程科技论坛-园艺工程科技发展战略论坛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梁燕</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2018.8.12-</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土耳其</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第三十届国际园艺学大会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梁燕</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2018.8.5-</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甘肃张掖</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中国园艺学会番茄分会2018学术年会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梁燕</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2018.8.2-</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宁夏</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省</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宁夏种业博览会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刘国甜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2018.4月13-</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上海</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第四届全国浆果基础研究与应用基础研究学术研讨会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刘国甜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7-7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第五届中国园艺学会青年分会学术研讨会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129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刘国甜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15-7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法国</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第12届国际葡萄遗传与育种大会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刘国甜</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26-7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30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意大利</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hint="eastAsia" w:ascii="Times New Roman" w:hAnsi="Times New Roman" w:eastAsia="仿宋" w:cs="Times New Roman"/>
                <w:color w:val="000000" w:themeColor="text1"/>
                <w:kern w:val="0"/>
                <w:szCs w:val="21"/>
              </w:rPr>
              <w:t>第十二届葡萄遗传与育种大会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李超</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2018.5</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16</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河南开封</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第三届全国植物逆境生物学研讨会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李超</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018.7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6</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第五届园艺青</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李超</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2018.12</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校</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第五届博士后学术年会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李超</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2018.1.27-</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2018.2.04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新西兰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学术交流</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王深浩</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18-22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泰安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全国植物生物学大会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王深浩</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43435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杨陵</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校</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西北农林科技大学第五届博士后学术</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李建明</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烟台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设施农业工程</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会</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2018设施园艺工程学术年会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李建明</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2018.12.4-6</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沈阳</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257届中国农业工程科技论坛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139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李建明</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4</w:t>
            </w:r>
            <w:r>
              <w:rPr>
                <w:rFonts w:ascii="Times New Roman" w:hAnsi="Times New Roman" w:eastAsia="仿宋" w:cs="Times New Roman"/>
                <w:color w:val="000000" w:themeColor="text1"/>
                <w:kern w:val="0"/>
                <w:szCs w:val="21"/>
              </w:rPr>
              <w:t>.19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寿光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hint="eastAsia"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第五届中国寿光国际设施园艺高层学术论坛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李建明</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寿光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农业部</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全国蔬菜质量标准高峰论坛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赵彩平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2018.8.10--8.12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甘肃省天水市秦安县</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hint="eastAsia" w:ascii="Times New Roman" w:hAnsi="Times New Roman" w:eastAsia="仿宋" w:cs="Times New Roman"/>
                <w:color w:val="000000" w:themeColor="text1"/>
                <w:kern w:val="0"/>
                <w:szCs w:val="21"/>
              </w:rPr>
              <w:t>国家级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2018全国桃产业发展交流会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郭延平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2018.1.12-</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十二五国家科技支撑计划项目2017</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度总结会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郭延平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2018.1.17-</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2018.1.20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咸阳</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国家苹果产业技术体系2017年度工作总结会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郭延平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2018.11.23-</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2018.11.25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2018极端环境作物资源与农产品质量安全国际研讨会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郭延平</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2018.11.25-</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2018.11.28</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保定</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2018中国苹果产业大会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邹志荣</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上海</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中国温室产业大会暨中国温室园艺行业2018年会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邹志荣</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烟台</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设施农业工程年会</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2018设施园艺工程学术</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邹志荣</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2018.9.12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泰安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2018中国设施农业产业大会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149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巩振辉</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7.21-7.25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长春</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二十一世纪的分子设计育种与绿色农业国际研讨会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杨振超</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4.8-10</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八届现代都市农业高层论坛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赵利民</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2018.11.19</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21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湖北武汉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第十四届全国十字花科蔬菜学术研讨暨新品种展示会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李明军</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7.20-23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第五届国际园艺研究大会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李明军</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10.17-19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中国青岛</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园艺学会年会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程智慧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美国</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威斯康星大学麦迪逊分校</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孟焕文</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2018.01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美国</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威斯康星大学麦迪逊分校</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孟焕文</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2018.10.12-14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南京</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第八届黄瓜学术研讨会暨新品种展示观摩</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157</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孙先鹏</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9-14</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英国</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spacing w:val="-10"/>
                <w:kern w:val="0"/>
                <w:szCs w:val="21"/>
              </w:rPr>
            </w:pPr>
            <w:r>
              <w:rPr>
                <w:rFonts w:ascii="Times New Roman" w:hAnsi="Times New Roman" w:eastAsia="仿宋" w:cs="Times New Roman"/>
                <w:color w:val="000000" w:themeColor="text1"/>
                <w:spacing w:val="-10"/>
                <w:kern w:val="0"/>
                <w:szCs w:val="21"/>
              </w:rPr>
              <w:t>2018 International Symposium on Comparative Study of UK-China Higher Education</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158</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李大伟</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2018.7.27-29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哈尔滨</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中国园艺学会分子育种分会第一届学术</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159</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李智</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2018.7.15-7.21</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法国</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波尔多</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国际会议</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第12届国际葡萄遗传与育种大会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160</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赵尊练</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6.22-6.25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湖南</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长沙</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中国园艺学会辣椒分会</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161</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刘占德</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2018.9.17</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周至</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hint="eastAsia"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中国猕猴桃科研与产业发展40周</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学术</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162</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张恩慧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2018.6.10-13</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江苏</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苏州</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中国园艺学会南瓜研究分会2018年会暨南瓜新品种展示会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163</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张恩慧</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2018.11.18-22</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河北</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武汉</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十字花科蔬菜新品种展示暨学术交流会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164</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毛柯</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2018.7</w:t>
            </w:r>
            <w:r>
              <w:rPr>
                <w:rFonts w:hint="eastAsia" w:ascii="Times New Roman" w:hAnsi="Times New Roman" w:eastAsia="仿宋" w:cs="Times New Roman"/>
                <w:color w:val="000000" w:themeColor="text1"/>
                <w:kern w:val="0"/>
                <w:szCs w:val="21"/>
              </w:rPr>
              <w:t>.</w:t>
            </w:r>
            <w:r>
              <w:rPr>
                <w:rFonts w:ascii="Times New Roman" w:hAnsi="Times New Roman" w:eastAsia="仿宋" w:cs="Times New Roman"/>
                <w:color w:val="000000" w:themeColor="text1"/>
                <w:kern w:val="0"/>
                <w:szCs w:val="21"/>
              </w:rPr>
              <w:t>6-9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杨陵</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第五届园艺青</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论坛</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165</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毛柯</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43435</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陕西</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杨凌</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校级</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第五届博士后学术</w:t>
            </w:r>
            <w:r>
              <w:rPr>
                <w:rFonts w:hint="eastAsia" w:ascii="Times New Roman" w:hAnsi="Times New Roman" w:eastAsia="仿宋" w:cs="Times New Roman"/>
                <w:color w:val="000000" w:themeColor="text1"/>
                <w:kern w:val="0"/>
                <w:szCs w:val="21"/>
              </w:rPr>
              <w:t>年</w:t>
            </w:r>
            <w:r>
              <w:rPr>
                <w:rFonts w:ascii="Times New Roman" w:hAnsi="Times New Roman" w:eastAsia="仿宋" w:cs="Times New Roman"/>
                <w:color w:val="000000" w:themeColor="text1"/>
                <w:kern w:val="0"/>
                <w:szCs w:val="21"/>
              </w:rPr>
              <w:t>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9"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166</w:t>
            </w:r>
          </w:p>
        </w:tc>
        <w:tc>
          <w:tcPr>
            <w:tcW w:w="934"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刘长海</w:t>
            </w:r>
          </w:p>
        </w:tc>
        <w:tc>
          <w:tcPr>
            <w:tcW w:w="155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2018.5.16-</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2018.5.19</w:t>
            </w:r>
          </w:p>
        </w:tc>
        <w:tc>
          <w:tcPr>
            <w:tcW w:w="1046"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河南</w:t>
            </w:r>
          </w:p>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开封</w:t>
            </w:r>
          </w:p>
        </w:tc>
        <w:tc>
          <w:tcPr>
            <w:tcW w:w="1088" w:type="dxa"/>
            <w:shd w:val="clear" w:color="auto" w:fill="auto"/>
            <w:noWrap/>
            <w:vAlign w:val="center"/>
          </w:tcPr>
          <w:p>
            <w:pPr>
              <w:widowControl/>
              <w:spacing w:line="320" w:lineRule="exact"/>
              <w:ind w:left="-63" w:leftChars="-30" w:right="-63" w:rightChars="-30"/>
              <w:jc w:val="center"/>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国家</w:t>
            </w:r>
          </w:p>
        </w:tc>
        <w:tc>
          <w:tcPr>
            <w:tcW w:w="2408" w:type="dxa"/>
            <w:shd w:val="clear" w:color="auto" w:fill="auto"/>
            <w:noWrap/>
            <w:vAlign w:val="center"/>
          </w:tcPr>
          <w:p>
            <w:pPr>
              <w:widowControl/>
              <w:spacing w:line="320" w:lineRule="exact"/>
              <w:jc w:val="left"/>
              <w:rPr>
                <w:rFonts w:ascii="Times New Roman" w:hAnsi="Times New Roman" w:eastAsia="仿宋" w:cs="Times New Roman"/>
                <w:color w:val="000000" w:themeColor="text1"/>
                <w:kern w:val="0"/>
                <w:szCs w:val="21"/>
              </w:rPr>
            </w:pPr>
            <w:r>
              <w:rPr>
                <w:rFonts w:ascii="Times New Roman" w:hAnsi="Times New Roman" w:eastAsia="仿宋" w:cs="Times New Roman"/>
                <w:color w:val="000000" w:themeColor="text1"/>
                <w:kern w:val="0"/>
                <w:szCs w:val="21"/>
              </w:rPr>
              <w:t>第三届全国植物逆境生物学研讨会</w:t>
            </w:r>
          </w:p>
        </w:tc>
        <w:tc>
          <w:tcPr>
            <w:tcW w:w="2881" w:type="dxa"/>
            <w:shd w:val="clear" w:color="auto" w:fill="auto"/>
            <w:noWrap/>
          </w:tcPr>
          <w:p>
            <w:r>
              <w:rPr>
                <w:rFonts w:hint="eastAsia" w:ascii="Times New Roman" w:hAnsi="Times New Roman" w:eastAsia="仿宋" w:cs="Times New Roman"/>
                <w:color w:val="000000" w:themeColor="text1"/>
                <w:spacing w:val="-6"/>
                <w:kern w:val="0"/>
                <w:szCs w:val="21"/>
              </w:rPr>
              <w:t>无</w:t>
            </w:r>
          </w:p>
        </w:tc>
      </w:tr>
    </w:tbl>
    <w:p>
      <w:pPr>
        <w:spacing w:before="156" w:beforeLines="50"/>
        <w:ind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bCs/>
          <w:color w:val="000000" w:themeColor="text1"/>
          <w:szCs w:val="21"/>
        </w:rPr>
        <w:t>注：大会报告：</w:t>
      </w:r>
      <w:r>
        <w:rPr>
          <w:rFonts w:ascii="Times New Roman" w:hAnsi="Times New Roman" w:eastAsia="楷体" w:cs="Times New Roman"/>
          <w:color w:val="000000" w:themeColor="text1"/>
          <w:szCs w:val="21"/>
        </w:rPr>
        <w:t>指特邀报告。</w:t>
      </w:r>
    </w:p>
    <w:p>
      <w:pPr>
        <w:widowControl/>
        <w:jc w:val="left"/>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br w:type="page"/>
      </w:r>
    </w:p>
    <w:p>
      <w:pPr>
        <w:spacing w:before="50" w:after="156" w:afterLines="50"/>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4</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承办竞赛情况</w:t>
      </w:r>
    </w:p>
    <w:tbl>
      <w:tblPr>
        <w:tblStyle w:val="23"/>
        <w:tblW w:w="10125"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81"/>
        <w:gridCol w:w="2840"/>
        <w:gridCol w:w="1024"/>
        <w:gridCol w:w="1171"/>
        <w:gridCol w:w="1367"/>
        <w:gridCol w:w="1771"/>
        <w:gridCol w:w="117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4" w:hRule="atLeast"/>
          <w:jc w:val="center"/>
        </w:trPr>
        <w:tc>
          <w:tcPr>
            <w:tcW w:w="781"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序号</w:t>
            </w:r>
          </w:p>
        </w:tc>
        <w:tc>
          <w:tcPr>
            <w:tcW w:w="2840"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竞赛名称</w:t>
            </w:r>
          </w:p>
        </w:tc>
        <w:tc>
          <w:tcPr>
            <w:tcW w:w="1024"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参赛</w:t>
            </w:r>
          </w:p>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人数</w:t>
            </w:r>
          </w:p>
        </w:tc>
        <w:tc>
          <w:tcPr>
            <w:tcW w:w="1171"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负责人</w:t>
            </w:r>
          </w:p>
        </w:tc>
        <w:tc>
          <w:tcPr>
            <w:tcW w:w="1367"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职称</w:t>
            </w:r>
          </w:p>
        </w:tc>
        <w:tc>
          <w:tcPr>
            <w:tcW w:w="1771"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起止时间</w:t>
            </w:r>
          </w:p>
        </w:tc>
        <w:tc>
          <w:tcPr>
            <w:tcW w:w="1171"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总经费</w:t>
            </w:r>
          </w:p>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54" w:hRule="atLeast"/>
          <w:jc w:val="center"/>
        </w:trPr>
        <w:tc>
          <w:tcPr>
            <w:tcW w:w="781" w:type="dxa"/>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840" w:type="dxa"/>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西北农林科技大学“一院一品”项目</w:t>
            </w:r>
          </w:p>
        </w:tc>
        <w:tc>
          <w:tcPr>
            <w:tcW w:w="1024" w:type="dxa"/>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1020</w:t>
            </w:r>
          </w:p>
        </w:tc>
        <w:tc>
          <w:tcPr>
            <w:tcW w:w="1171" w:type="dxa"/>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徐炎</w:t>
            </w:r>
          </w:p>
        </w:tc>
        <w:tc>
          <w:tcPr>
            <w:tcW w:w="1367" w:type="dxa"/>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教授</w:t>
            </w:r>
          </w:p>
        </w:tc>
        <w:tc>
          <w:tcPr>
            <w:tcW w:w="1771" w:type="dxa"/>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2018.04.01-11.30</w:t>
            </w:r>
          </w:p>
        </w:tc>
        <w:tc>
          <w:tcPr>
            <w:tcW w:w="1171" w:type="dxa"/>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1" w:hRule="exact"/>
          <w:jc w:val="center"/>
        </w:trPr>
        <w:tc>
          <w:tcPr>
            <w:tcW w:w="781" w:type="dxa"/>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840" w:type="dxa"/>
            <w:vAlign w:val="center"/>
          </w:tcPr>
          <w:p>
            <w:pPr>
              <w:jc w:val="center"/>
              <w:rPr>
                <w:rFonts w:ascii="Times New Roman" w:hAnsi="Times New Roman" w:cs="Times New Roman"/>
                <w:color w:val="000000" w:themeColor="text1"/>
              </w:rPr>
            </w:pPr>
          </w:p>
        </w:tc>
        <w:tc>
          <w:tcPr>
            <w:tcW w:w="1024" w:type="dxa"/>
            <w:vAlign w:val="center"/>
          </w:tcPr>
          <w:p>
            <w:pPr>
              <w:jc w:val="center"/>
              <w:rPr>
                <w:rFonts w:ascii="Times New Roman" w:hAnsi="Times New Roman" w:cs="Times New Roman"/>
                <w:color w:val="000000" w:themeColor="text1"/>
              </w:rPr>
            </w:pPr>
          </w:p>
        </w:tc>
        <w:tc>
          <w:tcPr>
            <w:tcW w:w="1171" w:type="dxa"/>
            <w:vAlign w:val="center"/>
          </w:tcPr>
          <w:p>
            <w:pPr>
              <w:jc w:val="center"/>
              <w:rPr>
                <w:rFonts w:ascii="Times New Roman" w:hAnsi="Times New Roman" w:cs="Times New Roman"/>
                <w:color w:val="000000" w:themeColor="text1"/>
              </w:rPr>
            </w:pPr>
          </w:p>
        </w:tc>
        <w:tc>
          <w:tcPr>
            <w:tcW w:w="1367" w:type="dxa"/>
            <w:vAlign w:val="center"/>
          </w:tcPr>
          <w:p>
            <w:pPr>
              <w:jc w:val="center"/>
              <w:rPr>
                <w:rFonts w:ascii="Times New Roman" w:hAnsi="Times New Roman" w:cs="Times New Roman"/>
                <w:color w:val="000000" w:themeColor="text1"/>
              </w:rPr>
            </w:pPr>
          </w:p>
        </w:tc>
        <w:tc>
          <w:tcPr>
            <w:tcW w:w="1771" w:type="dxa"/>
            <w:vAlign w:val="center"/>
          </w:tcPr>
          <w:p>
            <w:pPr>
              <w:jc w:val="center"/>
              <w:rPr>
                <w:rFonts w:ascii="Times New Roman" w:hAnsi="Times New Roman" w:cs="Times New Roman"/>
                <w:color w:val="000000" w:themeColor="text1"/>
              </w:rPr>
            </w:pPr>
          </w:p>
        </w:tc>
        <w:tc>
          <w:tcPr>
            <w:tcW w:w="1171" w:type="dxa"/>
            <w:vAlign w:val="center"/>
          </w:tcPr>
          <w:p>
            <w:pPr>
              <w:jc w:val="center"/>
              <w:rPr>
                <w:rFonts w:ascii="Times New Roman" w:hAnsi="Times New Roman" w:cs="Times New Roman"/>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1" w:hRule="exact"/>
          <w:jc w:val="center"/>
        </w:trPr>
        <w:tc>
          <w:tcPr>
            <w:tcW w:w="781" w:type="dxa"/>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840" w:type="dxa"/>
            <w:vAlign w:val="center"/>
          </w:tcPr>
          <w:p>
            <w:pPr>
              <w:jc w:val="center"/>
              <w:rPr>
                <w:rFonts w:ascii="Times New Roman" w:hAnsi="Times New Roman" w:cs="Times New Roman"/>
                <w:color w:val="000000" w:themeColor="text1"/>
              </w:rPr>
            </w:pPr>
          </w:p>
        </w:tc>
        <w:tc>
          <w:tcPr>
            <w:tcW w:w="1024" w:type="dxa"/>
            <w:vAlign w:val="center"/>
          </w:tcPr>
          <w:p>
            <w:pPr>
              <w:jc w:val="center"/>
              <w:rPr>
                <w:rFonts w:ascii="Times New Roman" w:hAnsi="Times New Roman" w:cs="Times New Roman"/>
                <w:color w:val="000000" w:themeColor="text1"/>
              </w:rPr>
            </w:pPr>
          </w:p>
        </w:tc>
        <w:tc>
          <w:tcPr>
            <w:tcW w:w="1171" w:type="dxa"/>
            <w:vAlign w:val="center"/>
          </w:tcPr>
          <w:p>
            <w:pPr>
              <w:jc w:val="center"/>
              <w:rPr>
                <w:rFonts w:ascii="Times New Roman" w:hAnsi="Times New Roman" w:cs="Times New Roman"/>
                <w:color w:val="000000" w:themeColor="text1"/>
              </w:rPr>
            </w:pPr>
          </w:p>
        </w:tc>
        <w:tc>
          <w:tcPr>
            <w:tcW w:w="1367" w:type="dxa"/>
            <w:vAlign w:val="center"/>
          </w:tcPr>
          <w:p>
            <w:pPr>
              <w:jc w:val="center"/>
              <w:rPr>
                <w:rFonts w:ascii="Times New Roman" w:hAnsi="Times New Roman" w:cs="Times New Roman"/>
                <w:color w:val="000000" w:themeColor="text1"/>
              </w:rPr>
            </w:pPr>
          </w:p>
        </w:tc>
        <w:tc>
          <w:tcPr>
            <w:tcW w:w="1771" w:type="dxa"/>
            <w:vAlign w:val="center"/>
          </w:tcPr>
          <w:p>
            <w:pPr>
              <w:jc w:val="center"/>
              <w:rPr>
                <w:rFonts w:ascii="Times New Roman" w:hAnsi="Times New Roman" w:cs="Times New Roman"/>
                <w:color w:val="000000" w:themeColor="text1"/>
              </w:rPr>
            </w:pPr>
          </w:p>
        </w:tc>
        <w:tc>
          <w:tcPr>
            <w:tcW w:w="1171" w:type="dxa"/>
            <w:vAlign w:val="center"/>
          </w:tcPr>
          <w:p>
            <w:pPr>
              <w:jc w:val="center"/>
              <w:rPr>
                <w:rFonts w:ascii="Times New Roman" w:hAnsi="Times New Roman" w:cs="Times New Roman"/>
                <w:color w:val="000000" w:themeColor="text1"/>
              </w:rPr>
            </w:pPr>
          </w:p>
        </w:tc>
      </w:tr>
    </w:tbl>
    <w:p>
      <w:pPr>
        <w:spacing w:before="156" w:beforeLines="50"/>
        <w:ind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bCs/>
          <w:color w:val="000000" w:themeColor="text1"/>
          <w:szCs w:val="21"/>
        </w:rPr>
        <w:t>注：学科竞赛：</w:t>
      </w:r>
      <w:r>
        <w:rPr>
          <w:rFonts w:ascii="Times New Roman" w:hAnsi="Times New Roman" w:eastAsia="楷体" w:cs="Times New Roman"/>
          <w:color w:val="000000" w:themeColor="text1"/>
          <w:szCs w:val="21"/>
        </w:rPr>
        <w:t>按国家级、省级、校级设立排序。</w:t>
      </w:r>
    </w:p>
    <w:p>
      <w:pPr>
        <w:spacing w:before="156" w:beforeLines="50" w:after="156" w:afterLines="50"/>
        <w:ind w:firstLine="480" w:firstLineChars="200"/>
        <w:rPr>
          <w:rFonts w:ascii="Times New Roman" w:hAnsi="Times New Roman" w:eastAsia="黑体" w:cs="Times New Roman"/>
          <w:color w:val="000000" w:themeColor="text1"/>
          <w:sz w:val="24"/>
          <w:szCs w:val="24"/>
        </w:rPr>
      </w:pPr>
    </w:p>
    <w:p>
      <w:pPr>
        <w:widowControl/>
        <w:jc w:val="left"/>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br w:type="page"/>
      </w:r>
    </w:p>
    <w:p>
      <w:pPr>
        <w:spacing w:before="156" w:beforeLines="50" w:after="156" w:afterLines="50"/>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5</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开展科普活动情况</w:t>
      </w:r>
    </w:p>
    <w:tbl>
      <w:tblPr>
        <w:tblStyle w:val="23"/>
        <w:tblW w:w="9463"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82"/>
        <w:gridCol w:w="2261"/>
        <w:gridCol w:w="850"/>
        <w:gridCol w:w="56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tblHeader/>
          <w:jc w:val="center"/>
        </w:trPr>
        <w:tc>
          <w:tcPr>
            <w:tcW w:w="682" w:type="dxa"/>
            <w:vAlign w:val="center"/>
          </w:tcPr>
          <w:p>
            <w:pPr>
              <w:jc w:val="center"/>
              <w:rPr>
                <w:rFonts w:ascii="Times New Roman" w:hAnsi="Times New Roman" w:eastAsia="黑体" w:cs="Times New Roman"/>
                <w:color w:val="000000" w:themeColor="text1"/>
                <w:sz w:val="20"/>
                <w:szCs w:val="20"/>
              </w:rPr>
            </w:pPr>
            <w:r>
              <w:rPr>
                <w:rFonts w:ascii="Times New Roman" w:hAnsi="Times New Roman" w:eastAsia="黑体" w:cs="Times New Roman"/>
                <w:color w:val="000000" w:themeColor="text1"/>
                <w:sz w:val="20"/>
                <w:szCs w:val="20"/>
              </w:rPr>
              <w:t>序号</w:t>
            </w:r>
          </w:p>
        </w:tc>
        <w:tc>
          <w:tcPr>
            <w:tcW w:w="2261" w:type="dxa"/>
            <w:vAlign w:val="center"/>
          </w:tcPr>
          <w:p>
            <w:pPr>
              <w:jc w:val="center"/>
              <w:rPr>
                <w:rFonts w:ascii="Times New Roman" w:hAnsi="Times New Roman" w:eastAsia="黑体" w:cs="Times New Roman"/>
                <w:color w:val="000000" w:themeColor="text1"/>
                <w:sz w:val="20"/>
                <w:szCs w:val="20"/>
              </w:rPr>
            </w:pPr>
            <w:r>
              <w:rPr>
                <w:rFonts w:ascii="Times New Roman" w:hAnsi="Times New Roman" w:eastAsia="黑体" w:cs="Times New Roman"/>
                <w:color w:val="000000" w:themeColor="text1"/>
                <w:sz w:val="20"/>
                <w:szCs w:val="20"/>
              </w:rPr>
              <w:t>活动开展时间</w:t>
            </w:r>
          </w:p>
        </w:tc>
        <w:tc>
          <w:tcPr>
            <w:tcW w:w="850" w:type="dxa"/>
            <w:vAlign w:val="center"/>
          </w:tcPr>
          <w:p>
            <w:pPr>
              <w:jc w:val="center"/>
              <w:rPr>
                <w:rFonts w:ascii="Times New Roman" w:hAnsi="Times New Roman" w:eastAsia="黑体" w:cs="Times New Roman"/>
                <w:color w:val="000000" w:themeColor="text1"/>
                <w:sz w:val="20"/>
                <w:szCs w:val="20"/>
              </w:rPr>
            </w:pPr>
            <w:r>
              <w:rPr>
                <w:rFonts w:ascii="Times New Roman" w:hAnsi="Times New Roman" w:eastAsia="黑体" w:cs="Times New Roman"/>
                <w:color w:val="000000" w:themeColor="text1"/>
                <w:sz w:val="20"/>
                <w:szCs w:val="20"/>
              </w:rPr>
              <w:t>参加</w:t>
            </w:r>
          </w:p>
          <w:p>
            <w:pPr>
              <w:jc w:val="center"/>
              <w:rPr>
                <w:rFonts w:ascii="Times New Roman" w:hAnsi="Times New Roman" w:eastAsia="黑体" w:cs="Times New Roman"/>
                <w:color w:val="000000" w:themeColor="text1"/>
                <w:sz w:val="20"/>
                <w:szCs w:val="20"/>
              </w:rPr>
            </w:pPr>
            <w:r>
              <w:rPr>
                <w:rFonts w:ascii="Times New Roman" w:hAnsi="Times New Roman" w:eastAsia="黑体" w:cs="Times New Roman"/>
                <w:color w:val="000000" w:themeColor="text1"/>
                <w:sz w:val="20"/>
                <w:szCs w:val="20"/>
              </w:rPr>
              <w:t>人数</w:t>
            </w:r>
          </w:p>
        </w:tc>
        <w:tc>
          <w:tcPr>
            <w:tcW w:w="5670" w:type="dxa"/>
            <w:vAlign w:val="center"/>
          </w:tcPr>
          <w:p>
            <w:pPr>
              <w:jc w:val="center"/>
              <w:rPr>
                <w:rFonts w:ascii="Times New Roman" w:hAnsi="Times New Roman" w:eastAsia="黑体" w:cs="Times New Roman"/>
                <w:color w:val="000000" w:themeColor="text1"/>
                <w:sz w:val="20"/>
                <w:szCs w:val="20"/>
              </w:rPr>
            </w:pPr>
            <w:r>
              <w:rPr>
                <w:rFonts w:ascii="Times New Roman" w:hAnsi="Times New Roman" w:eastAsia="黑体" w:cs="Times New Roman"/>
                <w:color w:val="000000" w:themeColor="text1"/>
                <w:sz w:val="20"/>
                <w:szCs w:val="20"/>
              </w:rPr>
              <w:t>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2018.01.15-19</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322</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园艺科学研究中心于1月15日至19日成功举办了以“提高安全意识, 养成安全习惯”为主题的“实验室安全周”活动</w:t>
            </w:r>
          </w:p>
          <w:p>
            <w:pPr>
              <w:rPr>
                <w:rFonts w:ascii="Times New Roman" w:hAnsi="Times New Roman" w:eastAsia="仿宋" w:cs="Times New Roman"/>
                <w:color w:val="000000" w:themeColor="text1"/>
                <w:szCs w:val="21"/>
                <w:shd w:val="clear" w:color="auto" w:fill="FFFFFF"/>
              </w:rPr>
            </w:pPr>
            <w:r>
              <w:fldChar w:fldCharType="begin"/>
            </w:r>
            <w:r>
              <w:instrText xml:space="preserve"> HYPERLINK "http://news.nwsuaf.edu.cn/yxxw/80454.htm" </w:instrText>
            </w:r>
            <w:r>
              <w:fldChar w:fldCharType="separate"/>
            </w:r>
            <w:r>
              <w:rPr>
                <w:rFonts w:ascii="Times New Roman" w:hAnsi="Times New Roman" w:eastAsia="仿宋" w:cs="Times New Roman"/>
                <w:color w:val="000000" w:themeColor="text1"/>
                <w:szCs w:val="21"/>
                <w:shd w:val="clear" w:color="auto" w:fill="FFFFFF"/>
              </w:rPr>
              <w:t>http://news.nwsuaf.edu.cn/yxxw/80454.htm</w:t>
            </w:r>
            <w:r>
              <w:rPr>
                <w:rFonts w:ascii="Times New Roman" w:hAnsi="Times New Roman" w:eastAsia="仿宋" w:cs="Times New Roman"/>
                <w:color w:val="000000" w:themeColor="text1"/>
                <w:szCs w:val="21"/>
                <w:shd w:val="clear" w:color="auto" w:fill="FFFFFF"/>
              </w:rPr>
              <w:fldChar w:fldCharType="end"/>
            </w:r>
          </w:p>
          <w:p>
            <w:pPr>
              <w:rPr>
                <w:rFonts w:ascii="Times New Roman" w:hAnsi="Times New Roman" w:eastAsia="仿宋" w:cs="Times New Roman"/>
                <w:color w:val="000000" w:themeColor="text1"/>
                <w:szCs w:val="21"/>
                <w:shd w:val="clear" w:color="auto" w:fill="FFFFFF"/>
              </w:rPr>
            </w:pPr>
            <w:r>
              <w:fldChar w:fldCharType="begin"/>
            </w:r>
            <w:r>
              <w:instrText xml:space="preserve"> HYPERLINK "http://yyxy.nwafu.edu.cn/tzgg/377854.htm" </w:instrText>
            </w:r>
            <w:r>
              <w:fldChar w:fldCharType="separate"/>
            </w:r>
            <w:r>
              <w:rPr>
                <w:rFonts w:ascii="Times New Roman" w:hAnsi="Times New Roman" w:eastAsia="仿宋" w:cs="Times New Roman"/>
                <w:color w:val="000000" w:themeColor="text1"/>
                <w:szCs w:val="21"/>
                <w:shd w:val="clear" w:color="auto" w:fill="FFFFFF"/>
              </w:rPr>
              <w:t>http://yyxy.nwafu.edu.cn/tzgg/377854.htm</w:t>
            </w:r>
            <w:r>
              <w:rPr>
                <w:rFonts w:ascii="Times New Roman" w:hAnsi="Times New Roman" w:eastAsia="仿宋" w:cs="Times New Roman"/>
                <w:color w:val="000000" w:themeColor="text1"/>
                <w:szCs w:val="21"/>
                <w:shd w:val="clear" w:color="auto" w:fill="FFFFFF"/>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2018.03.15</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我院特邀请德国Ｗalz公司工程师为我院近期使用人员提供系统培训双通道叶绿素荧光仪。</w:t>
            </w:r>
          </w:p>
          <w:p>
            <w:pPr>
              <w:rPr>
                <w:rFonts w:ascii="Times New Roman" w:hAnsi="Times New Roman" w:eastAsia="仿宋" w:cs="Times New Roman"/>
                <w:color w:val="000000" w:themeColor="text1"/>
                <w:szCs w:val="21"/>
                <w:shd w:val="clear" w:color="auto" w:fill="FFFFFF"/>
              </w:rPr>
            </w:pPr>
            <w:r>
              <w:fldChar w:fldCharType="begin"/>
            </w:r>
            <w:r>
              <w:instrText xml:space="preserve"> HYPERLINK "http://yyxy.nwafu.edu.cn/tzgg/381301.htm" </w:instrText>
            </w:r>
            <w:r>
              <w:fldChar w:fldCharType="separate"/>
            </w:r>
            <w:r>
              <w:rPr>
                <w:rFonts w:ascii="Times New Roman" w:hAnsi="Times New Roman" w:eastAsia="仿宋" w:cs="Times New Roman"/>
                <w:color w:val="000000" w:themeColor="text1"/>
                <w:szCs w:val="21"/>
                <w:shd w:val="clear" w:color="auto" w:fill="FFFFFF"/>
              </w:rPr>
              <w:t>http://yyxy.nwafu.edu.cn/tzgg/381301.htm</w:t>
            </w:r>
            <w:r>
              <w:rPr>
                <w:rFonts w:ascii="Times New Roman" w:hAnsi="Times New Roman" w:eastAsia="仿宋" w:cs="Times New Roman"/>
                <w:color w:val="000000" w:themeColor="text1"/>
                <w:szCs w:val="21"/>
                <w:shd w:val="clear" w:color="auto" w:fill="FFFFFF"/>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2018.04.02</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29</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Biacore分子互作技术在农业和植物领域中的应用”讲座</w:t>
            </w:r>
            <w:r>
              <w:fldChar w:fldCharType="begin"/>
            </w:r>
            <w:r>
              <w:instrText xml:space="preserve"> HYPERLINK "http://yyxy.nwsuaf.edu.cn/xzjl/383563.htm" </w:instrText>
            </w:r>
            <w:r>
              <w:fldChar w:fldCharType="separate"/>
            </w:r>
            <w:r>
              <w:rPr>
                <w:rFonts w:ascii="Times New Roman" w:hAnsi="Times New Roman" w:eastAsia="仿宋" w:cs="Times New Roman"/>
                <w:color w:val="000000" w:themeColor="text1"/>
                <w:szCs w:val="21"/>
                <w:shd w:val="clear" w:color="auto" w:fill="FFFFFF"/>
              </w:rPr>
              <w:t>http://yyxy.nwsuaf.edu.cn/xzjl/383563.htm</w:t>
            </w:r>
            <w:r>
              <w:rPr>
                <w:rFonts w:ascii="Times New Roman" w:hAnsi="Times New Roman" w:eastAsia="仿宋" w:cs="Times New Roman"/>
                <w:color w:val="000000" w:themeColor="text1"/>
                <w:szCs w:val="21"/>
                <w:shd w:val="clear" w:color="auto" w:fill="FFFFFF"/>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2018.04.03</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24</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“日本HlTACHI-ZA3000原子吸收光谱仪” 培训</w:t>
            </w:r>
            <w:r>
              <w:fldChar w:fldCharType="begin"/>
            </w:r>
            <w:r>
              <w:instrText xml:space="preserve"> HYPERLINK "http://yyxy.nwafu.edu.cn/tzgg/383972.htm" </w:instrText>
            </w:r>
            <w:r>
              <w:fldChar w:fldCharType="separate"/>
            </w:r>
            <w:r>
              <w:rPr>
                <w:rFonts w:ascii="Times New Roman" w:hAnsi="Times New Roman" w:eastAsia="仿宋" w:cs="Times New Roman"/>
                <w:color w:val="000000" w:themeColor="text1"/>
                <w:szCs w:val="21"/>
                <w:shd w:val="clear" w:color="auto" w:fill="FFFFFF"/>
              </w:rPr>
              <w:t>http://yyxy.nwafu.edu.cn/tzgg/383972.htm</w:t>
            </w:r>
            <w:r>
              <w:rPr>
                <w:rFonts w:ascii="Times New Roman" w:hAnsi="Times New Roman" w:eastAsia="仿宋" w:cs="Times New Roman"/>
                <w:color w:val="000000" w:themeColor="text1"/>
                <w:szCs w:val="21"/>
                <w:shd w:val="clear" w:color="auto" w:fill="FFFFFF"/>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5</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2018.04.17</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50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实验室安全讲座及颜色研究交流会</w:t>
            </w:r>
            <w:r>
              <w:fldChar w:fldCharType="begin"/>
            </w:r>
            <w:r>
              <w:instrText xml:space="preserve"> HYPERLINK "http://yyxy.nwafu.edu.cn/tzgg/385341.htm" </w:instrText>
            </w:r>
            <w:r>
              <w:fldChar w:fldCharType="separate"/>
            </w:r>
            <w:r>
              <w:rPr>
                <w:rFonts w:ascii="Times New Roman" w:hAnsi="Times New Roman" w:eastAsia="仿宋" w:cs="Times New Roman"/>
                <w:color w:val="000000" w:themeColor="text1"/>
                <w:szCs w:val="21"/>
                <w:shd w:val="clear" w:color="auto" w:fill="FFFFFF"/>
              </w:rPr>
              <w:t>http://yyxy.nwafu.edu.cn/tzgg/385341.htm</w:t>
            </w:r>
            <w:r>
              <w:rPr>
                <w:rFonts w:ascii="Times New Roman" w:hAnsi="Times New Roman" w:eastAsia="仿宋" w:cs="Times New Roman"/>
                <w:color w:val="000000" w:themeColor="text1"/>
                <w:szCs w:val="21"/>
                <w:shd w:val="clear" w:color="auto" w:fill="FFFFFF"/>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6</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201８.04. 23-27</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121</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QTRAP 5500液质联用仪”应用培训周活动</w:t>
            </w:r>
          </w:p>
          <w:p>
            <w:pPr>
              <w:rPr>
                <w:rFonts w:ascii="Times New Roman" w:hAnsi="Times New Roman" w:eastAsia="仿宋" w:cs="Times New Roman"/>
                <w:color w:val="000000" w:themeColor="text1"/>
                <w:szCs w:val="21"/>
                <w:shd w:val="clear" w:color="auto" w:fill="FFFFFF"/>
              </w:rPr>
            </w:pPr>
            <w:r>
              <w:fldChar w:fldCharType="begin"/>
            </w:r>
            <w:r>
              <w:instrText xml:space="preserve"> HYPERLINK "http://yyxy.nwafu.edu.cn/tzgg/386112.htm" </w:instrText>
            </w:r>
            <w:r>
              <w:fldChar w:fldCharType="separate"/>
            </w:r>
            <w:r>
              <w:rPr>
                <w:rFonts w:ascii="Times New Roman" w:hAnsi="Times New Roman" w:eastAsia="仿宋" w:cs="Times New Roman"/>
                <w:color w:val="000000" w:themeColor="text1"/>
                <w:szCs w:val="21"/>
                <w:shd w:val="clear" w:color="auto" w:fill="FFFFFF"/>
              </w:rPr>
              <w:t>http://yyxy.nwafu.edu.cn/tzgg/386112.htm</w:t>
            </w:r>
            <w:r>
              <w:rPr>
                <w:rFonts w:ascii="Times New Roman" w:hAnsi="Times New Roman" w:eastAsia="仿宋" w:cs="Times New Roman"/>
                <w:color w:val="000000" w:themeColor="text1"/>
                <w:szCs w:val="21"/>
                <w:shd w:val="clear" w:color="auto" w:fill="FFFFFF"/>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7</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2018.05.16</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44</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“Resonon Pika环境立体监测设备”培训</w:t>
            </w:r>
          </w:p>
          <w:p>
            <w:pPr>
              <w:rPr>
                <w:rFonts w:ascii="Times New Roman" w:hAnsi="Times New Roman" w:eastAsia="仿宋" w:cs="Times New Roman"/>
                <w:color w:val="000000" w:themeColor="text1"/>
                <w:szCs w:val="21"/>
                <w:shd w:val="clear" w:color="auto" w:fill="FFFFFF"/>
              </w:rPr>
            </w:pPr>
            <w:r>
              <w:fldChar w:fldCharType="begin"/>
            </w:r>
            <w:r>
              <w:instrText xml:space="preserve"> HYPERLINK "http://yyxy.nwafu.edu.cn/tzgg/388613.htm" </w:instrText>
            </w:r>
            <w:r>
              <w:fldChar w:fldCharType="separate"/>
            </w:r>
            <w:r>
              <w:rPr>
                <w:rFonts w:ascii="Times New Roman" w:hAnsi="Times New Roman" w:eastAsia="仿宋" w:cs="Times New Roman"/>
                <w:color w:val="000000" w:themeColor="text1"/>
                <w:szCs w:val="21"/>
                <w:shd w:val="clear" w:color="auto" w:fill="FFFFFF"/>
              </w:rPr>
              <w:t>http://yyxy.nwafu.edu.cn/tzgg/388613.htm</w:t>
            </w:r>
            <w:r>
              <w:rPr>
                <w:rFonts w:ascii="Times New Roman" w:hAnsi="Times New Roman" w:eastAsia="仿宋" w:cs="Times New Roman"/>
                <w:color w:val="000000" w:themeColor="text1"/>
                <w:szCs w:val="21"/>
                <w:shd w:val="clear" w:color="auto" w:fill="FFFFFF"/>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2018.05.22-06.06</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112</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 xml:space="preserve">园艺科学研究中心积极举行试用机培训与测样活动http://yyxy.nwafu.edu.cn/xyxw/391817.htm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9</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2018.05.22</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17</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土壤重金属快速检测技术HDXRF及应用讲座</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w:r>
            <w:r>
              <w:rPr>
                <w:rFonts w:ascii="Times New Roman" w:hAnsi="Times New Roman" w:eastAsia="仿宋" w:cs="Times New Roman"/>
                <w:color w:val="000000" w:themeColor="text1"/>
                <w:szCs w:val="21"/>
                <w:shd w:val="clear" w:color="auto" w:fill="FFFFFF"/>
              </w:rPr>
              <w:t xml:space="preserve">http://yyxy.nwafu.edu.cn/tzgg/389351.htm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2018.05.24</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岛津创新质谱技术实验室解决方案技术交流会</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w:r>
            <w:r>
              <w:rPr>
                <w:rFonts w:ascii="Times New Roman" w:hAnsi="Times New Roman" w:eastAsia="仿宋" w:cs="Times New Roman"/>
                <w:color w:val="000000" w:themeColor="text1"/>
                <w:szCs w:val="21"/>
                <w:shd w:val="clear" w:color="auto" w:fill="FFFFFF"/>
              </w:rPr>
              <w:t>http://yyxy.nwafu.edu.cn/tzgg/389934.htm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11</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2018.05.31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留学生实验室安全教育培训</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w:r>
            <w:r>
              <w:rPr>
                <w:rFonts w:ascii="Times New Roman" w:hAnsi="Times New Roman" w:eastAsia="仿宋" w:cs="Times New Roman"/>
                <w:color w:val="000000" w:themeColor="text1"/>
                <w:szCs w:val="21"/>
                <w:shd w:val="clear" w:color="auto" w:fill="FFFFFF"/>
              </w:rPr>
              <w:t>http://yyxy.nwafu.edu.cn/tzgg/390909.htm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12</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2018.05.31-06.07</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对留学生进行实验室安全准入培训与考核</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w:r>
            <w:r>
              <w:rPr>
                <w:rFonts w:ascii="Times New Roman" w:hAnsi="Times New Roman" w:eastAsia="仿宋" w:cs="Times New Roman"/>
                <w:color w:val="000000" w:themeColor="text1"/>
                <w:szCs w:val="21"/>
                <w:shd w:val="clear" w:color="auto" w:fill="FFFFFF"/>
              </w:rPr>
              <w:t xml:space="preserve">http://news.nwsuaf.edu.cn/yxxw/82914.htm </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http://yyxy.nwafu.edu.cn/xyxw/391974.htm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13</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2018.07.16</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148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举行学院实验室安全培训会</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w:r>
            <w:r>
              <w:rPr>
                <w:rFonts w:ascii="Times New Roman" w:hAnsi="Times New Roman" w:eastAsia="仿宋" w:cs="Times New Roman"/>
                <w:color w:val="000000" w:themeColor="text1"/>
                <w:szCs w:val="21"/>
                <w:shd w:val="clear" w:color="auto" w:fill="FFFFFF"/>
              </w:rPr>
              <w:t xml:space="preserve">http://news.nwsuaf.edu.cn/yxxw/83620.htm </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 xml:space="preserve">http://yyxy.nwafu.edu.cn/xyxw/395294.htm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14</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2019.09.20</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全体研究生</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上好“安全”第一课</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w:r>
            <w:r>
              <w:rPr>
                <w:rFonts w:ascii="Times New Roman" w:hAnsi="Times New Roman" w:eastAsia="仿宋" w:cs="Times New Roman"/>
                <w:color w:val="000000" w:themeColor="text1"/>
                <w:szCs w:val="21"/>
                <w:shd w:val="clear" w:color="auto" w:fill="FFFFFF"/>
              </w:rPr>
              <w:t xml:space="preserve">http://news.nwsuaf.edu.cn/yxxw/84627.htm </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 xml:space="preserve">http://yyxy.nwafu.edu.cn/xyxw/399899.htm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15</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2018.11.22</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120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“蛋白穿越重现之旅——Western Blol技术”讲座</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w:r>
            <w:r>
              <w:rPr>
                <w:rFonts w:ascii="Times New Roman" w:hAnsi="Times New Roman" w:eastAsia="仿宋" w:cs="Times New Roman"/>
                <w:color w:val="000000" w:themeColor="text1"/>
                <w:szCs w:val="21"/>
                <w:shd w:val="clear" w:color="auto" w:fill="FFFFFF"/>
              </w:rPr>
              <w:t xml:space="preserve">http://yyxy.nwafu.edu.cn/xzjl/406657.htm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16</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2018.11.22</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70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我院举办qPCR和Western Blot技术交流会</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w:r>
            <w:r>
              <w:rPr>
                <w:rFonts w:ascii="Times New Roman" w:hAnsi="Times New Roman" w:eastAsia="仿宋" w:cs="Times New Roman"/>
                <w:color w:val="000000" w:themeColor="text1"/>
                <w:szCs w:val="21"/>
                <w:shd w:val="clear" w:color="auto" w:fill="FFFFFF"/>
              </w:rPr>
              <w:t>http://yyxy.nwafu.edu.cn/xyxw/407181.htm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17</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2018.12.19</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QTRAP液质联用质谱技术及其应用讲座</w:t>
            </w:r>
          </w:p>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ab/>
            </w:r>
            <w:r>
              <w:rPr>
                <w:rFonts w:ascii="Times New Roman" w:hAnsi="Times New Roman" w:eastAsia="仿宋" w:cs="Times New Roman"/>
                <w:color w:val="000000" w:themeColor="text1"/>
                <w:szCs w:val="21"/>
                <w:shd w:val="clear" w:color="auto" w:fill="FFFFFF"/>
              </w:rPr>
              <w:t>http://yyxy.nwafu.edu.cn/tzgg/409739.htm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18</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园艺学院葡萄抗病性调研队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19</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园艺学院赴眉县猕猴桃调研队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9</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园艺产品低温冻害调研小组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21</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园艺学院赴宜宾樱桃调研队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22</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园艺学院赴韩城市行鼓调研队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23</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9</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葡萄结果性状和果实品质调研小分队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24</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园艺学院赴蒙阴幸福助力调研小队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25</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园艺学院赴甘肃宁县苹果调研队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26</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园艺学院赴张六村私人温室调研队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27</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园艺学院赴洛川志愿服务队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28</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园艺学院赴西乡夏茶产业调研队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29</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园艺学院赴百色芒果采后调研队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30</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园艺学院赴陕北有机肥调研团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31</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园艺学院赴陕非物质文化遗产调研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32</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园艺学院萍乡油茶产业调研服务队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33</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9</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园艺学院赴白水志愿服务队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34</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园艺学院赴呈坎传统文化调研队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35</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11</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园艺学院赴金寨县茶产业调研队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36</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园艺学院赴信阳毛尖调研队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37</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园艺学院赴陕北“双减”调研服务队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38</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园艺学院赴江西省设施农业调研队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39</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9</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园艺学院赴鸣沙山调研园艺产业发展队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40</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园艺学院赴柳林碗团产业调研队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41</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园艺学院赴江苏省盆景艺术调研队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42</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9</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园艺学院赴延安红色寻访团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43</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园艺学院赴昆明红色寻访调研队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44</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园艺学院赴澄城县尧头陶瓷调研队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45</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10</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园艺学院赴偃师葡萄病害调研队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46</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9</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园艺学院赴互助县青稞酿造技术调研队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47</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园艺学院院赴延川县脱贫攻坚服务队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7" w:hRule="atLeast"/>
          <w:jc w:val="center"/>
        </w:trPr>
        <w:tc>
          <w:tcPr>
            <w:tcW w:w="682"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48</w:t>
            </w:r>
          </w:p>
        </w:tc>
        <w:tc>
          <w:tcPr>
            <w:tcW w:w="2261"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2018.07.14-2018.08.31</w:t>
            </w:r>
          </w:p>
        </w:tc>
        <w:tc>
          <w:tcPr>
            <w:tcW w:w="850" w:type="dxa"/>
            <w:vAlign w:val="center"/>
          </w:tcPr>
          <w:p>
            <w:pPr>
              <w:jc w:val="cente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8</w:t>
            </w:r>
          </w:p>
        </w:tc>
        <w:tc>
          <w:tcPr>
            <w:tcW w:w="5670" w:type="dxa"/>
            <w:vAlign w:val="center"/>
          </w:tcPr>
          <w:p>
            <w:pPr>
              <w:rPr>
                <w:rFonts w:ascii="Times New Roman" w:hAnsi="Times New Roman" w:eastAsia="仿宋" w:cs="Times New Roman"/>
                <w:color w:val="000000" w:themeColor="text1"/>
                <w:szCs w:val="21"/>
                <w:shd w:val="clear" w:color="auto" w:fill="FFFFFF"/>
              </w:rPr>
            </w:pPr>
            <w:r>
              <w:rPr>
                <w:rFonts w:ascii="Times New Roman" w:hAnsi="Times New Roman" w:eastAsia="仿宋" w:cs="Times New Roman"/>
                <w:color w:val="000000" w:themeColor="text1"/>
                <w:szCs w:val="21"/>
                <w:shd w:val="clear" w:color="auto" w:fill="FFFFFF"/>
              </w:rPr>
              <w:t>园艺学院赴合阳县脱贫攻坚调研队</w:t>
            </w:r>
          </w:p>
        </w:tc>
      </w:tr>
    </w:tbl>
    <w:p>
      <w:pPr>
        <w:widowControl/>
        <w:jc w:val="left"/>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br w:type="page"/>
      </w:r>
    </w:p>
    <w:p>
      <w:pPr>
        <w:spacing w:before="156" w:beforeLines="50"/>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6</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接受进修人员情况</w:t>
      </w:r>
    </w:p>
    <w:tbl>
      <w:tblPr>
        <w:tblStyle w:val="22"/>
        <w:tblW w:w="9511" w:type="dxa"/>
        <w:jc w:val="center"/>
        <w:tblInd w:w="0" w:type="dxa"/>
        <w:tblLayout w:type="fixed"/>
        <w:tblCellMar>
          <w:top w:w="0" w:type="dxa"/>
          <w:left w:w="108" w:type="dxa"/>
          <w:bottom w:w="0" w:type="dxa"/>
          <w:right w:w="108" w:type="dxa"/>
        </w:tblCellMar>
      </w:tblPr>
      <w:tblGrid>
        <w:gridCol w:w="559"/>
        <w:gridCol w:w="1409"/>
        <w:gridCol w:w="3063"/>
        <w:gridCol w:w="1221"/>
        <w:gridCol w:w="1276"/>
        <w:gridCol w:w="1983"/>
      </w:tblGrid>
      <w:tr>
        <w:tblPrEx>
          <w:tblLayout w:type="fixed"/>
          <w:tblCellMar>
            <w:top w:w="0" w:type="dxa"/>
            <w:left w:w="108" w:type="dxa"/>
            <w:bottom w:w="0" w:type="dxa"/>
            <w:right w:w="108" w:type="dxa"/>
          </w:tblCellMar>
        </w:tblPrEx>
        <w:trPr>
          <w:trHeight w:val="600" w:hRule="atLeast"/>
          <w:tblHeader/>
          <w:jc w:val="center"/>
        </w:trPr>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黑体" w:cs="Times New Roman"/>
                <w:color w:val="000000" w:themeColor="text1"/>
                <w:kern w:val="0"/>
                <w:szCs w:val="21"/>
              </w:rPr>
            </w:pPr>
            <w:r>
              <w:rPr>
                <w:rFonts w:ascii="Times New Roman" w:hAnsi="Times New Roman" w:eastAsia="黑体" w:cs="Times New Roman"/>
                <w:color w:val="000000" w:themeColor="text1"/>
                <w:kern w:val="0"/>
                <w:szCs w:val="21"/>
              </w:rPr>
              <w:t>序号</w:t>
            </w:r>
          </w:p>
        </w:tc>
        <w:tc>
          <w:tcPr>
            <w:tcW w:w="14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黑体" w:cs="Times New Roman"/>
                <w:color w:val="000000" w:themeColor="text1"/>
                <w:kern w:val="0"/>
                <w:szCs w:val="21"/>
              </w:rPr>
            </w:pPr>
            <w:r>
              <w:rPr>
                <w:rFonts w:ascii="Times New Roman" w:hAnsi="Times New Roman" w:eastAsia="黑体" w:cs="Times New Roman"/>
                <w:color w:val="000000" w:themeColor="text1"/>
                <w:kern w:val="0"/>
                <w:szCs w:val="21"/>
              </w:rPr>
              <w:t>学号</w:t>
            </w:r>
          </w:p>
        </w:tc>
        <w:tc>
          <w:tcPr>
            <w:tcW w:w="30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黑体" w:cs="Times New Roman"/>
                <w:color w:val="000000" w:themeColor="text1"/>
                <w:kern w:val="0"/>
                <w:szCs w:val="21"/>
              </w:rPr>
            </w:pPr>
            <w:r>
              <w:rPr>
                <w:rFonts w:ascii="Times New Roman" w:hAnsi="Times New Roman" w:eastAsia="黑体" w:cs="Times New Roman"/>
                <w:color w:val="000000" w:themeColor="text1"/>
                <w:kern w:val="0"/>
                <w:szCs w:val="21"/>
              </w:rPr>
              <w:t>姓名</w:t>
            </w:r>
          </w:p>
        </w:tc>
        <w:tc>
          <w:tcPr>
            <w:tcW w:w="1221" w:type="dxa"/>
            <w:tcBorders>
              <w:top w:val="single" w:color="auto" w:sz="4" w:space="0"/>
              <w:left w:val="nil"/>
              <w:bottom w:val="single" w:color="auto" w:sz="4" w:space="0"/>
              <w:right w:val="single" w:color="auto" w:sz="4" w:space="0"/>
            </w:tcBorders>
            <w:shd w:val="clear" w:color="auto" w:fill="auto"/>
            <w:vAlign w:val="center"/>
          </w:tcPr>
          <w:p>
            <w:pPr>
              <w:widowControl/>
              <w:ind w:left="-105" w:leftChars="-50" w:right="-105" w:rightChars="-50"/>
              <w:jc w:val="center"/>
              <w:rPr>
                <w:rFonts w:ascii="Times New Roman" w:hAnsi="Times New Roman" w:eastAsia="黑体" w:cs="Times New Roman"/>
                <w:color w:val="000000" w:themeColor="text1"/>
                <w:kern w:val="0"/>
                <w:szCs w:val="21"/>
              </w:rPr>
            </w:pPr>
            <w:r>
              <w:rPr>
                <w:rFonts w:ascii="Times New Roman" w:hAnsi="Times New Roman" w:eastAsia="黑体" w:cs="Times New Roman"/>
                <w:color w:val="000000" w:themeColor="text1"/>
                <w:kern w:val="0"/>
                <w:szCs w:val="21"/>
              </w:rPr>
              <w:t>职称</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ind w:left="-105" w:leftChars="-50" w:right="-105" w:rightChars="-50"/>
              <w:jc w:val="center"/>
              <w:rPr>
                <w:rFonts w:ascii="Times New Roman" w:hAnsi="Times New Roman" w:eastAsia="黑体" w:cs="Times New Roman"/>
                <w:color w:val="000000" w:themeColor="text1"/>
                <w:kern w:val="0"/>
                <w:szCs w:val="21"/>
              </w:rPr>
            </w:pPr>
            <w:r>
              <w:rPr>
                <w:rFonts w:ascii="Times New Roman" w:hAnsi="Times New Roman" w:eastAsia="黑体" w:cs="Times New Roman"/>
                <w:color w:val="000000" w:themeColor="text1"/>
                <w:kern w:val="0"/>
                <w:szCs w:val="21"/>
              </w:rPr>
              <w:t>单位名称</w:t>
            </w:r>
          </w:p>
        </w:tc>
        <w:tc>
          <w:tcPr>
            <w:tcW w:w="19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黑体" w:cs="Times New Roman"/>
                <w:color w:val="000000" w:themeColor="text1"/>
                <w:kern w:val="0"/>
                <w:szCs w:val="21"/>
              </w:rPr>
            </w:pPr>
            <w:r>
              <w:rPr>
                <w:rFonts w:ascii="Times New Roman" w:hAnsi="Times New Roman" w:eastAsia="黑体" w:cs="Times New Roman"/>
                <w:color w:val="000000" w:themeColor="text1"/>
                <w:kern w:val="0"/>
                <w:szCs w:val="21"/>
              </w:rPr>
              <w:t>起止时间</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2014070068</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MUHAMMAD HANIF（王永）</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2014070082</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MUHAMMAD ALI（李大伟）</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3</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2014070084</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AHMAD ALI（孟飞）</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4</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2014070093</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TAYEB MUHAMMAD（陈放）</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5</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2014070107</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MATI UR RAHMAN（罗成）</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6</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2014070113</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MUHAMMAD IMRAN GHANI（白杨）</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7</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2015071026</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ALI,MUHAMMAD（马斯伯）</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8</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2016071012</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ISLAM,MD MONIRUL(刘旭）</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孟加拉国</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9</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2016071016</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TAHIR,MUHAMMAD MOBEEN(李叶文）</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硕士留学生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10</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2016071017</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IBRAHIM,MUSAWAR(包一鸣）</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硕士留学生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11</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2016071020</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AHMAD,BILAL(宋佳伦）</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12</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2016071031</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UL HAQ,SAEED(徐子峰)</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13</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2016071032</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ATIF,MUHAMMAD JAWAAD(郑宁文）</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14</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2016071056</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SHARIF,RAHAT SHARIF</w:t>
            </w:r>
          </w:p>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(李振凯）</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硕士留学生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15</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2017071032</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HAMADA,HASSAN ALSAYED ABDELMONEM HASSANEIN（杨洋）</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硕士留学生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埃及</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16</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2017071038</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AMIN,BAKHT（吕松）</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17</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2017071060</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SHAH,KAMRAN（沙海成）</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18</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2018071067</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YADAV, VIVEK（韦可）</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印度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19</w:t>
            </w:r>
          </w:p>
        </w:tc>
        <w:tc>
          <w:tcPr>
            <w:tcW w:w="140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2018071077</w:t>
            </w:r>
          </w:p>
        </w:tc>
        <w:tc>
          <w:tcPr>
            <w:tcW w:w="306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KHAN, MAQSOOD（马克苏）</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博士留学生</w:t>
            </w:r>
          </w:p>
        </w:tc>
        <w:tc>
          <w:tcPr>
            <w:tcW w:w="1276"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巴基斯坦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2018.1.1-2018.12.31</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F20180137</w:t>
            </w:r>
          </w:p>
        </w:tc>
        <w:tc>
          <w:tcPr>
            <w:tcW w:w="306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李红</w:t>
            </w:r>
          </w:p>
        </w:tc>
        <w:tc>
          <w:tcPr>
            <w:tcW w:w="1221"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本科生</w:t>
            </w:r>
          </w:p>
        </w:tc>
        <w:tc>
          <w:tcPr>
            <w:tcW w:w="1276"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塔里木大学</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2018.9-2019.7</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21</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F20180120</w:t>
            </w:r>
          </w:p>
        </w:tc>
        <w:tc>
          <w:tcPr>
            <w:tcW w:w="306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王一磊</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本科生</w:t>
            </w:r>
          </w:p>
        </w:tc>
        <w:tc>
          <w:tcPr>
            <w:tcW w:w="1276"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青岛农大</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2018.9-2019.7</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22</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F20180136</w:t>
            </w:r>
          </w:p>
        </w:tc>
        <w:tc>
          <w:tcPr>
            <w:tcW w:w="306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武海霞</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本科生</w:t>
            </w:r>
          </w:p>
        </w:tc>
        <w:tc>
          <w:tcPr>
            <w:tcW w:w="1276"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塔里木大学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2018.9-2019.7</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23</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F20180119</w:t>
            </w:r>
          </w:p>
        </w:tc>
        <w:tc>
          <w:tcPr>
            <w:tcW w:w="306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徐玉婷</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本科生</w:t>
            </w:r>
          </w:p>
        </w:tc>
        <w:tc>
          <w:tcPr>
            <w:tcW w:w="1276"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青岛农大</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2018.9-2019.7</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24</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F20180135</w:t>
            </w:r>
          </w:p>
        </w:tc>
        <w:tc>
          <w:tcPr>
            <w:tcW w:w="306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阿依努尔</w:t>
            </w: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本科生</w:t>
            </w:r>
          </w:p>
        </w:tc>
        <w:tc>
          <w:tcPr>
            <w:tcW w:w="1276"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塔里木大学</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2018.9-2019.7</w:t>
            </w:r>
          </w:p>
        </w:tc>
      </w:tr>
      <w:tr>
        <w:tblPrEx>
          <w:tblLayout w:type="fixed"/>
          <w:tblCellMar>
            <w:top w:w="0" w:type="dxa"/>
            <w:left w:w="108" w:type="dxa"/>
            <w:bottom w:w="0" w:type="dxa"/>
            <w:right w:w="108" w:type="dxa"/>
          </w:tblCellMar>
        </w:tblPrEx>
        <w:trPr>
          <w:trHeight w:val="600" w:hRule="atLeast"/>
          <w:jc w:val="center"/>
        </w:trPr>
        <w:tc>
          <w:tcPr>
            <w:tcW w:w="5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themeColor="text1"/>
                <w:kern w:val="0"/>
                <w:szCs w:val="21"/>
              </w:rPr>
            </w:pP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themeColor="text1"/>
                <w:kern w:val="0"/>
                <w:szCs w:val="21"/>
              </w:rPr>
            </w:pPr>
          </w:p>
        </w:tc>
        <w:tc>
          <w:tcPr>
            <w:tcW w:w="306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themeColor="text1"/>
                <w:kern w:val="0"/>
                <w:szCs w:val="21"/>
              </w:rPr>
            </w:pPr>
          </w:p>
        </w:tc>
        <w:tc>
          <w:tcPr>
            <w:tcW w:w="1221" w:type="dxa"/>
            <w:tcBorders>
              <w:top w:val="nil"/>
              <w:left w:val="nil"/>
              <w:bottom w:val="single" w:color="auto" w:sz="4" w:space="0"/>
              <w:right w:val="single" w:color="auto" w:sz="4" w:space="0"/>
            </w:tcBorders>
            <w:shd w:val="clear" w:color="auto" w:fill="auto"/>
            <w:vAlign w:val="center"/>
          </w:tcPr>
          <w:p>
            <w:pPr>
              <w:ind w:left="-105" w:leftChars="-50" w:right="-105" w:rightChars="-50"/>
              <w:jc w:val="center"/>
              <w:rPr>
                <w:rFonts w:ascii="Times New Roman" w:hAnsi="Times New Roman" w:cs="Times New Roman"/>
                <w:color w:val="000000" w:themeColor="text1"/>
                <w:szCs w:val="21"/>
              </w:rPr>
            </w:pPr>
          </w:p>
        </w:tc>
        <w:tc>
          <w:tcPr>
            <w:tcW w:w="1276"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center"/>
              <w:rPr>
                <w:rFonts w:ascii="Times New Roman" w:hAnsi="Times New Roman" w:eastAsia="宋体" w:cs="Times New Roman"/>
                <w:color w:val="000000" w:themeColor="text1"/>
                <w:kern w:val="0"/>
                <w:szCs w:val="21"/>
              </w:rPr>
            </w:pP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themeColor="text1"/>
                <w:kern w:val="0"/>
                <w:szCs w:val="21"/>
              </w:rPr>
            </w:pPr>
          </w:p>
        </w:tc>
      </w:tr>
    </w:tbl>
    <w:p>
      <w:pPr>
        <w:spacing w:before="156" w:beforeLines="50"/>
        <w:ind w:firstLine="420" w:firstLineChars="200"/>
        <w:rPr>
          <w:rFonts w:ascii="Times New Roman" w:hAnsi="Times New Roman" w:eastAsia="楷体" w:cs="Times New Roman"/>
          <w:color w:val="000000" w:themeColor="text1"/>
          <w:szCs w:val="21"/>
        </w:rPr>
      </w:pPr>
      <w:r>
        <w:rPr>
          <w:rFonts w:ascii="Times New Roman" w:hAnsi="Times New Roman" w:eastAsia="楷体" w:cs="Times New Roman"/>
          <w:color w:val="000000" w:themeColor="text1"/>
          <w:szCs w:val="21"/>
        </w:rPr>
        <w:t>注：进修人员单位名称填写学校，起止时间以正式文件为准。</w:t>
      </w:r>
    </w:p>
    <w:p>
      <w:pPr>
        <w:spacing w:before="156" w:beforeLines="50" w:after="156" w:afterLines="50"/>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7</w:t>
      </w:r>
      <w:r>
        <w:rPr>
          <w:rFonts w:hint="eastAsia" w:ascii="Times New Roman" w:hAnsi="Times New Roman" w:eastAsia="黑体" w:cs="Times New Roman"/>
          <w:color w:val="000000" w:themeColor="text1"/>
          <w:sz w:val="24"/>
          <w:szCs w:val="24"/>
        </w:rPr>
        <w:t>．</w:t>
      </w:r>
      <w:r>
        <w:rPr>
          <w:rFonts w:ascii="Times New Roman" w:hAnsi="Times New Roman" w:eastAsia="黑体" w:cs="Times New Roman"/>
          <w:color w:val="000000" w:themeColor="text1"/>
          <w:sz w:val="24"/>
          <w:szCs w:val="24"/>
        </w:rPr>
        <w:t>承办培训情况</w:t>
      </w:r>
    </w:p>
    <w:tbl>
      <w:tblPr>
        <w:tblStyle w:val="22"/>
        <w:tblW w:w="936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1"/>
        <w:gridCol w:w="3411"/>
        <w:gridCol w:w="784"/>
        <w:gridCol w:w="1123"/>
        <w:gridCol w:w="1038"/>
        <w:gridCol w:w="1402"/>
        <w:gridCol w:w="10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78" w:hRule="atLeast"/>
          <w:jc w:val="center"/>
        </w:trPr>
        <w:tc>
          <w:tcPr>
            <w:tcW w:w="601"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序号</w:t>
            </w:r>
          </w:p>
        </w:tc>
        <w:tc>
          <w:tcPr>
            <w:tcW w:w="3411"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培训项目名称</w:t>
            </w:r>
          </w:p>
        </w:tc>
        <w:tc>
          <w:tcPr>
            <w:tcW w:w="784"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培训</w:t>
            </w:r>
          </w:p>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人数</w:t>
            </w:r>
          </w:p>
        </w:tc>
        <w:tc>
          <w:tcPr>
            <w:tcW w:w="1123"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负责人</w:t>
            </w:r>
          </w:p>
        </w:tc>
        <w:tc>
          <w:tcPr>
            <w:tcW w:w="1038"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职称</w:t>
            </w:r>
          </w:p>
        </w:tc>
        <w:tc>
          <w:tcPr>
            <w:tcW w:w="1402"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起止时间</w:t>
            </w:r>
          </w:p>
        </w:tc>
        <w:tc>
          <w:tcPr>
            <w:tcW w:w="1007" w:type="dxa"/>
            <w:vAlign w:val="center"/>
          </w:tcPr>
          <w:p>
            <w:pPr>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03" w:hRule="atLeast"/>
          <w:jc w:val="center"/>
        </w:trPr>
        <w:tc>
          <w:tcPr>
            <w:tcW w:w="601" w:type="dxa"/>
            <w:vAlign w:val="center"/>
          </w:tcPr>
          <w:p>
            <w:pPr>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w:t>
            </w:r>
          </w:p>
        </w:tc>
        <w:tc>
          <w:tcPr>
            <w:tcW w:w="3411" w:type="dxa"/>
            <w:vAlign w:val="center"/>
          </w:tcPr>
          <w:p>
            <w:pPr>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礼泉县职业农民培训</w:t>
            </w:r>
          </w:p>
        </w:tc>
        <w:tc>
          <w:tcPr>
            <w:tcW w:w="784" w:type="dxa"/>
            <w:vAlign w:val="center"/>
          </w:tcPr>
          <w:p>
            <w:pPr>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1200</w:t>
            </w:r>
          </w:p>
        </w:tc>
        <w:tc>
          <w:tcPr>
            <w:tcW w:w="1123" w:type="dxa"/>
            <w:vAlign w:val="center"/>
          </w:tcPr>
          <w:p>
            <w:pPr>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马锋旺</w:t>
            </w:r>
          </w:p>
        </w:tc>
        <w:tc>
          <w:tcPr>
            <w:tcW w:w="1038" w:type="dxa"/>
            <w:vAlign w:val="center"/>
          </w:tcPr>
          <w:p>
            <w:pPr>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教授</w:t>
            </w:r>
          </w:p>
        </w:tc>
        <w:tc>
          <w:tcPr>
            <w:tcW w:w="1402" w:type="dxa"/>
            <w:vAlign w:val="center"/>
          </w:tcPr>
          <w:p>
            <w:pPr>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全年</w:t>
            </w:r>
          </w:p>
        </w:tc>
        <w:tc>
          <w:tcPr>
            <w:tcW w:w="1007" w:type="dxa"/>
            <w:vAlign w:val="center"/>
          </w:tcPr>
          <w:p>
            <w:pPr>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03" w:hRule="atLeast"/>
          <w:jc w:val="center"/>
        </w:trPr>
        <w:tc>
          <w:tcPr>
            <w:tcW w:w="601" w:type="dxa"/>
            <w:vAlign w:val="center"/>
          </w:tcPr>
          <w:p>
            <w:pPr>
              <w:jc w:val="center"/>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Cs w:val="21"/>
              </w:rPr>
              <w:t>2</w:t>
            </w:r>
          </w:p>
        </w:tc>
        <w:tc>
          <w:tcPr>
            <w:tcW w:w="3411" w:type="dxa"/>
            <w:vAlign w:val="center"/>
          </w:tcPr>
          <w:p>
            <w:pPr>
              <w:jc w:val="center"/>
              <w:rPr>
                <w:rFonts w:ascii="Times New Roman" w:hAnsi="Times New Roman" w:eastAsia="仿宋_GB2312" w:cs="Times New Roman"/>
                <w:color w:val="000000" w:themeColor="text1"/>
                <w:szCs w:val="21"/>
              </w:rPr>
            </w:pPr>
          </w:p>
        </w:tc>
        <w:tc>
          <w:tcPr>
            <w:tcW w:w="784" w:type="dxa"/>
            <w:vAlign w:val="center"/>
          </w:tcPr>
          <w:p>
            <w:pPr>
              <w:jc w:val="center"/>
              <w:rPr>
                <w:rFonts w:ascii="Times New Roman" w:hAnsi="Times New Roman" w:eastAsia="仿宋_GB2312" w:cs="Times New Roman"/>
                <w:color w:val="000000" w:themeColor="text1"/>
                <w:szCs w:val="21"/>
              </w:rPr>
            </w:pPr>
          </w:p>
        </w:tc>
        <w:tc>
          <w:tcPr>
            <w:tcW w:w="1123" w:type="dxa"/>
            <w:vAlign w:val="center"/>
          </w:tcPr>
          <w:p>
            <w:pPr>
              <w:jc w:val="center"/>
              <w:rPr>
                <w:rFonts w:ascii="Times New Roman" w:hAnsi="Times New Roman" w:eastAsia="仿宋_GB2312" w:cs="Times New Roman"/>
                <w:color w:val="000000" w:themeColor="text1"/>
                <w:szCs w:val="21"/>
              </w:rPr>
            </w:pPr>
          </w:p>
        </w:tc>
        <w:tc>
          <w:tcPr>
            <w:tcW w:w="1038" w:type="dxa"/>
            <w:vAlign w:val="center"/>
          </w:tcPr>
          <w:p>
            <w:pPr>
              <w:jc w:val="center"/>
              <w:rPr>
                <w:rFonts w:ascii="Times New Roman" w:hAnsi="Times New Roman" w:eastAsia="仿宋_GB2312" w:cs="Times New Roman"/>
                <w:color w:val="000000" w:themeColor="text1"/>
                <w:szCs w:val="21"/>
              </w:rPr>
            </w:pPr>
          </w:p>
        </w:tc>
        <w:tc>
          <w:tcPr>
            <w:tcW w:w="1402" w:type="dxa"/>
            <w:vAlign w:val="center"/>
          </w:tcPr>
          <w:p>
            <w:pPr>
              <w:jc w:val="center"/>
              <w:rPr>
                <w:rFonts w:ascii="Times New Roman" w:hAnsi="Times New Roman" w:eastAsia="仿宋_GB2312" w:cs="Times New Roman"/>
                <w:color w:val="000000" w:themeColor="text1"/>
                <w:szCs w:val="21"/>
              </w:rPr>
            </w:pPr>
          </w:p>
        </w:tc>
        <w:tc>
          <w:tcPr>
            <w:tcW w:w="1007" w:type="dxa"/>
            <w:vAlign w:val="center"/>
          </w:tcPr>
          <w:p>
            <w:pPr>
              <w:jc w:val="center"/>
              <w:rPr>
                <w:rFonts w:ascii="Times New Roman" w:hAnsi="Times New Roman" w:eastAsia="仿宋_GB2312" w:cs="Times New Roman"/>
                <w:color w:val="000000" w:themeColor="text1"/>
                <w:szCs w:val="21"/>
              </w:rPr>
            </w:pPr>
          </w:p>
        </w:tc>
      </w:tr>
    </w:tbl>
    <w:p>
      <w:pPr>
        <w:ind w:firstLine="480" w:firstLineChars="200"/>
        <w:rPr>
          <w:rFonts w:ascii="Times New Roman" w:hAnsi="Times New Roman" w:eastAsia="楷体" w:cs="Times New Roman"/>
          <w:color w:val="000000" w:themeColor="text1"/>
          <w:sz w:val="24"/>
          <w:szCs w:val="24"/>
        </w:rPr>
      </w:pPr>
      <w:r>
        <w:rPr>
          <w:rFonts w:ascii="Times New Roman" w:hAnsi="Times New Roman" w:eastAsia="楷体" w:cs="Times New Roman"/>
          <w:color w:val="000000" w:themeColor="text1"/>
          <w:sz w:val="24"/>
          <w:szCs w:val="24"/>
        </w:rPr>
        <w:t>注：培训项目以正式文件为准，培训人数以签到表为准。</w:t>
      </w:r>
    </w:p>
    <w:p>
      <w:pPr>
        <w:pStyle w:val="4"/>
        <w:spacing w:before="0" w:after="0" w:line="240" w:lineRule="auto"/>
        <w:ind w:firstLine="562" w:firstLineChars="200"/>
        <w:rPr>
          <w:rFonts w:ascii="Times New Roman" w:hAnsi="Times New Roman" w:eastAsia="楷体_GB2312" w:cs="Times New Roman"/>
          <w:color w:val="000000" w:themeColor="text1"/>
          <w:sz w:val="28"/>
          <w:szCs w:val="28"/>
        </w:rPr>
      </w:pPr>
      <w:bookmarkStart w:id="142" w:name="_Toc535227439"/>
      <w:r>
        <w:rPr>
          <w:rFonts w:ascii="Times New Roman" w:hAnsi="Times New Roman" w:eastAsia="楷体_GB2312" w:cs="Times New Roman"/>
          <w:color w:val="000000" w:themeColor="text1"/>
          <w:sz w:val="28"/>
          <w:szCs w:val="28"/>
        </w:rPr>
        <w:t>（三）安全工作情况</w:t>
      </w:r>
      <w:bookmarkEnd w:id="142"/>
    </w:p>
    <w:tbl>
      <w:tblPr>
        <w:tblStyle w:val="23"/>
        <w:tblW w:w="9305"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26"/>
        <w:gridCol w:w="2327"/>
        <w:gridCol w:w="46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1" w:hRule="atLeast"/>
          <w:jc w:val="center"/>
        </w:trPr>
        <w:tc>
          <w:tcPr>
            <w:tcW w:w="4653" w:type="dxa"/>
            <w:gridSpan w:val="2"/>
            <w:vAlign w:val="center"/>
          </w:tcPr>
          <w:p>
            <w:pPr>
              <w:adjustRightInd w:val="0"/>
              <w:snapToGrid w:val="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安全教育培训情况</w:t>
            </w:r>
          </w:p>
        </w:tc>
        <w:tc>
          <w:tcPr>
            <w:tcW w:w="4652" w:type="dxa"/>
            <w:vAlign w:val="center"/>
          </w:tcPr>
          <w:p>
            <w:pPr>
              <w:adjustRightInd w:val="0"/>
              <w:snapToGrid w:val="0"/>
              <w:jc w:val="center"/>
              <w:rPr>
                <w:rFonts w:ascii="Times New Roman" w:hAnsi="Times New Roman" w:eastAsia="楷体" w:cs="Times New Roman"/>
                <w:color w:val="000000" w:themeColor="text1"/>
                <w:szCs w:val="21"/>
              </w:rPr>
            </w:pPr>
            <w:r>
              <w:rPr>
                <w:rFonts w:ascii="Times New Roman" w:hAnsi="Times New Roman" w:eastAsia="楷体" w:cs="Times New Roman"/>
                <w:color w:val="000000" w:themeColor="text1"/>
                <w:szCs w:val="21"/>
              </w:rPr>
              <w:t>952人次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jc w:val="center"/>
        </w:trPr>
        <w:tc>
          <w:tcPr>
            <w:tcW w:w="9305" w:type="dxa"/>
            <w:gridSpan w:val="3"/>
            <w:vAlign w:val="center"/>
          </w:tcPr>
          <w:p>
            <w:pPr>
              <w:adjustRightInd w:val="0"/>
              <w:snapToGrid w:val="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jc w:val="center"/>
        </w:trPr>
        <w:tc>
          <w:tcPr>
            <w:tcW w:w="4653" w:type="dxa"/>
            <w:gridSpan w:val="2"/>
            <w:vAlign w:val="center"/>
          </w:tcPr>
          <w:p>
            <w:pPr>
              <w:adjustRightInd w:val="0"/>
              <w:snapToGrid w:val="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伤亡人数（人）</w:t>
            </w:r>
          </w:p>
        </w:tc>
        <w:tc>
          <w:tcPr>
            <w:tcW w:w="4652" w:type="dxa"/>
            <w:vMerge w:val="restart"/>
            <w:vAlign w:val="center"/>
          </w:tcPr>
          <w:p>
            <w:pPr>
              <w:adjustRightInd w:val="0"/>
              <w:snapToGrid w:val="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jc w:val="center"/>
        </w:trPr>
        <w:tc>
          <w:tcPr>
            <w:tcW w:w="2326" w:type="dxa"/>
            <w:vAlign w:val="center"/>
          </w:tcPr>
          <w:p>
            <w:pPr>
              <w:adjustRightInd w:val="0"/>
              <w:snapToGrid w:val="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伤</w:t>
            </w:r>
          </w:p>
        </w:tc>
        <w:tc>
          <w:tcPr>
            <w:tcW w:w="2327" w:type="dxa"/>
            <w:vAlign w:val="center"/>
          </w:tcPr>
          <w:p>
            <w:pPr>
              <w:adjustRightInd w:val="0"/>
              <w:snapToGrid w:val="0"/>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亡</w:t>
            </w:r>
          </w:p>
        </w:tc>
        <w:tc>
          <w:tcPr>
            <w:tcW w:w="4652" w:type="dxa"/>
            <w:vMerge w:val="continue"/>
            <w:vAlign w:val="center"/>
          </w:tcPr>
          <w:p>
            <w:pPr>
              <w:adjustRightInd w:val="0"/>
              <w:snapToGrid w:val="0"/>
              <w:jc w:val="center"/>
              <w:rPr>
                <w:rFonts w:ascii="Times New Roman" w:hAnsi="Times New Roman" w:eastAsia="仿宋" w:cs="Times New Roman"/>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jc w:val="center"/>
        </w:trPr>
        <w:tc>
          <w:tcPr>
            <w:tcW w:w="2326" w:type="dxa"/>
            <w:vAlign w:val="center"/>
          </w:tcPr>
          <w:p>
            <w:pPr>
              <w:adjustRightInd w:val="0"/>
              <w:snapToGrid w:val="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0</w:t>
            </w:r>
          </w:p>
        </w:tc>
        <w:tc>
          <w:tcPr>
            <w:tcW w:w="2327" w:type="dxa"/>
            <w:vAlign w:val="center"/>
          </w:tcPr>
          <w:p>
            <w:pPr>
              <w:adjustRightInd w:val="0"/>
              <w:snapToGrid w:val="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0</w:t>
            </w:r>
          </w:p>
        </w:tc>
        <w:tc>
          <w:tcPr>
            <w:tcW w:w="4652" w:type="dxa"/>
            <w:vAlign w:val="center"/>
          </w:tcPr>
          <w:p>
            <w:pPr>
              <w:adjustRightInd w:val="0"/>
              <w:snapToGrid w:val="0"/>
              <w:jc w:val="center"/>
              <w:rPr>
                <w:rFonts w:ascii="Times New Roman" w:hAnsi="Times New Roman" w:eastAsia="仿宋" w:cs="Times New Roman"/>
                <w:color w:val="000000" w:themeColor="text1"/>
                <w:szCs w:val="21"/>
              </w:rPr>
            </w:pPr>
            <w:r>
              <w:rPr>
                <w:rFonts w:ascii="Times New Roman" w:hAnsi="Times New Roman" w:eastAsia="仿宋" w:cs="Times New Roman"/>
                <w:color w:val="000000" w:themeColor="text1"/>
                <w:szCs w:val="21"/>
              </w:rPr>
              <w:t>√</w:t>
            </w:r>
          </w:p>
        </w:tc>
      </w:tr>
    </w:tbl>
    <w:p>
      <w:pPr>
        <w:adjustRightInd w:val="0"/>
        <w:snapToGrid w:val="0"/>
        <w:ind w:firstLine="420" w:firstLineChars="200"/>
        <w:rPr>
          <w:rFonts w:ascii="Times New Roman" w:hAnsi="Times New Roman" w:eastAsia="楷体" w:cs="Times New Roman"/>
          <w:bCs/>
          <w:color w:val="000000" w:themeColor="text1"/>
          <w:szCs w:val="21"/>
        </w:rPr>
      </w:pPr>
      <w:r>
        <w:rPr>
          <w:rFonts w:ascii="Times New Roman" w:hAnsi="Times New Roman" w:eastAsia="楷体" w:cs="Times New Roman"/>
          <w:bCs/>
          <w:color w:val="000000" w:themeColor="text1"/>
          <w:szCs w:val="21"/>
        </w:rPr>
        <w:t>注：安全责任事故以所在高校发布的安全责任事故通报文件为准。如未发生安全责任事故，请在其下方表格打钩。如发生安全责任事故，请说明伤亡人数。</w:t>
      </w:r>
    </w:p>
    <w:p>
      <w:pPr>
        <w:adjustRightInd w:val="0"/>
        <w:snapToGrid w:val="0"/>
        <w:ind w:firstLine="420" w:firstLineChars="200"/>
        <w:rPr>
          <w:rFonts w:ascii="Times New Roman" w:hAnsi="Times New Roman" w:eastAsia="楷体" w:cs="Times New Roman"/>
          <w:bCs/>
          <w:color w:val="000000" w:themeColor="text1"/>
          <w:szCs w:val="21"/>
        </w:rPr>
      </w:pPr>
      <w:r>
        <w:rPr>
          <w:rFonts w:ascii="Times New Roman" w:hAnsi="Times New Roman" w:eastAsia="楷体" w:cs="Times New Roman"/>
          <w:bCs/>
          <w:color w:val="000000" w:themeColor="text1"/>
          <w:szCs w:val="21"/>
        </w:rPr>
        <w:drawing>
          <wp:inline distT="0" distB="0" distL="0" distR="0">
            <wp:extent cx="5135880" cy="7861935"/>
            <wp:effectExtent l="19050" t="0" r="7238" b="0"/>
            <wp:docPr id="2" name="图片 1" descr="C:\Users\Administrator\Desktop\园艺-中心年度报告尾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园艺-中心年度报告尾页 003.jpg"/>
                    <pic:cNvPicPr>
                      <a:picLocks noChangeAspect="1" noChangeArrowheads="1"/>
                    </pic:cNvPicPr>
                  </pic:nvPicPr>
                  <pic:blipFill>
                    <a:blip r:embed="rId60" cstate="print"/>
                    <a:srcRect l="9834" t="8438" r="10180" b="10896"/>
                    <a:stretch>
                      <a:fillRect/>
                    </a:stretch>
                  </pic:blipFill>
                  <pic:spPr>
                    <a:xfrm>
                      <a:off x="0" y="0"/>
                      <a:ext cx="5139501" cy="7867007"/>
                    </a:xfrm>
                    <a:prstGeom prst="rect">
                      <a:avLst/>
                    </a:prstGeom>
                    <a:noFill/>
                    <a:ln w="9525">
                      <a:noFill/>
                      <a:miter lim="800000"/>
                      <a:headEnd/>
                      <a:tailEnd/>
                    </a:ln>
                  </pic:spPr>
                </pic:pic>
              </a:graphicData>
            </a:graphic>
          </wp:inline>
        </w:drawing>
      </w:r>
    </w:p>
    <w:sectPr>
      <w:pgSz w:w="11906" w:h="16838"/>
      <w:pgMar w:top="1418" w:right="1588" w:bottom="141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DY247 + ZKJECE-247">
    <w:altName w:val="Segoe Print"/>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8321204"/>
    </w:sdtPr>
    <w:sdtEndPr>
      <w:rPr>
        <w:rFonts w:ascii="Times New Roman" w:hAnsi="Times New Roman" w:cs="Times New Roman"/>
        <w:sz w:val="21"/>
        <w:szCs w:val="21"/>
      </w:rPr>
    </w:sdtEndPr>
    <w:sdtContent>
      <w:p>
        <w:pPr>
          <w:pStyle w:val="13"/>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105</w:t>
        </w:r>
        <w:r>
          <w:rPr>
            <w:rFonts w:ascii="Times New Roman" w:hAnsi="Times New Roman" w:cs="Times New Roman"/>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rsids>
    <w:rsidRoot w:val="00435848"/>
    <w:rsid w:val="00002031"/>
    <w:rsid w:val="00003E09"/>
    <w:rsid w:val="00014122"/>
    <w:rsid w:val="000144A3"/>
    <w:rsid w:val="00016050"/>
    <w:rsid w:val="00017187"/>
    <w:rsid w:val="00026484"/>
    <w:rsid w:val="00031213"/>
    <w:rsid w:val="00032E3F"/>
    <w:rsid w:val="00033E2F"/>
    <w:rsid w:val="00034134"/>
    <w:rsid w:val="00035124"/>
    <w:rsid w:val="00043A1B"/>
    <w:rsid w:val="00045C58"/>
    <w:rsid w:val="00051112"/>
    <w:rsid w:val="00054AF0"/>
    <w:rsid w:val="00056BE9"/>
    <w:rsid w:val="00060C56"/>
    <w:rsid w:val="0006168D"/>
    <w:rsid w:val="00063E2A"/>
    <w:rsid w:val="00065F6D"/>
    <w:rsid w:val="00067055"/>
    <w:rsid w:val="00080043"/>
    <w:rsid w:val="000862CE"/>
    <w:rsid w:val="00086C02"/>
    <w:rsid w:val="00086F75"/>
    <w:rsid w:val="0009001E"/>
    <w:rsid w:val="000902F6"/>
    <w:rsid w:val="00092BCD"/>
    <w:rsid w:val="00094983"/>
    <w:rsid w:val="00094DF1"/>
    <w:rsid w:val="0009552B"/>
    <w:rsid w:val="00095BB9"/>
    <w:rsid w:val="00096733"/>
    <w:rsid w:val="000968F9"/>
    <w:rsid w:val="000A2F0A"/>
    <w:rsid w:val="000A370E"/>
    <w:rsid w:val="000B0D6B"/>
    <w:rsid w:val="000B3CD3"/>
    <w:rsid w:val="000B654B"/>
    <w:rsid w:val="000B7127"/>
    <w:rsid w:val="000C3AE3"/>
    <w:rsid w:val="000D07FA"/>
    <w:rsid w:val="000D5BF6"/>
    <w:rsid w:val="000D5D6E"/>
    <w:rsid w:val="000F21B8"/>
    <w:rsid w:val="000F7560"/>
    <w:rsid w:val="00110EAD"/>
    <w:rsid w:val="00110F37"/>
    <w:rsid w:val="00117ABC"/>
    <w:rsid w:val="00120095"/>
    <w:rsid w:val="00124A30"/>
    <w:rsid w:val="00124EA2"/>
    <w:rsid w:val="001266E3"/>
    <w:rsid w:val="001268E6"/>
    <w:rsid w:val="00134AB9"/>
    <w:rsid w:val="001366E6"/>
    <w:rsid w:val="001518F9"/>
    <w:rsid w:val="00160C82"/>
    <w:rsid w:val="001615ED"/>
    <w:rsid w:val="001716D6"/>
    <w:rsid w:val="001719D7"/>
    <w:rsid w:val="001728C6"/>
    <w:rsid w:val="001734BF"/>
    <w:rsid w:val="00173EA7"/>
    <w:rsid w:val="00177F3D"/>
    <w:rsid w:val="00184683"/>
    <w:rsid w:val="00186D1A"/>
    <w:rsid w:val="00190BA0"/>
    <w:rsid w:val="00191ACC"/>
    <w:rsid w:val="001954F7"/>
    <w:rsid w:val="00196BCA"/>
    <w:rsid w:val="001A192E"/>
    <w:rsid w:val="001A7DB5"/>
    <w:rsid w:val="001B5C7E"/>
    <w:rsid w:val="001C1DAF"/>
    <w:rsid w:val="001D2567"/>
    <w:rsid w:val="001D38C5"/>
    <w:rsid w:val="001D5235"/>
    <w:rsid w:val="001D6047"/>
    <w:rsid w:val="001D7DC0"/>
    <w:rsid w:val="001F2C26"/>
    <w:rsid w:val="001F3099"/>
    <w:rsid w:val="001F33E6"/>
    <w:rsid w:val="001F3F0E"/>
    <w:rsid w:val="001F406E"/>
    <w:rsid w:val="001F5DD4"/>
    <w:rsid w:val="001F7183"/>
    <w:rsid w:val="00201163"/>
    <w:rsid w:val="0020291E"/>
    <w:rsid w:val="00207528"/>
    <w:rsid w:val="0021269E"/>
    <w:rsid w:val="00216A3C"/>
    <w:rsid w:val="00216CF7"/>
    <w:rsid w:val="002174C1"/>
    <w:rsid w:val="00217BB6"/>
    <w:rsid w:val="00220518"/>
    <w:rsid w:val="0022246A"/>
    <w:rsid w:val="00222D60"/>
    <w:rsid w:val="00223002"/>
    <w:rsid w:val="00226537"/>
    <w:rsid w:val="002350BF"/>
    <w:rsid w:val="00237D6A"/>
    <w:rsid w:val="00246A5B"/>
    <w:rsid w:val="00246D1A"/>
    <w:rsid w:val="00254BC1"/>
    <w:rsid w:val="00256D5B"/>
    <w:rsid w:val="002611B7"/>
    <w:rsid w:val="00264CB7"/>
    <w:rsid w:val="0027487C"/>
    <w:rsid w:val="00276235"/>
    <w:rsid w:val="00277841"/>
    <w:rsid w:val="00280040"/>
    <w:rsid w:val="002817B2"/>
    <w:rsid w:val="0028733B"/>
    <w:rsid w:val="00287E8A"/>
    <w:rsid w:val="00291BD4"/>
    <w:rsid w:val="00293DD7"/>
    <w:rsid w:val="002A4FCF"/>
    <w:rsid w:val="002A5B74"/>
    <w:rsid w:val="002B002D"/>
    <w:rsid w:val="002B010B"/>
    <w:rsid w:val="002B125A"/>
    <w:rsid w:val="002B2CED"/>
    <w:rsid w:val="002B31A9"/>
    <w:rsid w:val="002B555C"/>
    <w:rsid w:val="002B5DDB"/>
    <w:rsid w:val="002C0E00"/>
    <w:rsid w:val="002C5471"/>
    <w:rsid w:val="002E1DD5"/>
    <w:rsid w:val="002E1E0E"/>
    <w:rsid w:val="002E347F"/>
    <w:rsid w:val="002E5E5D"/>
    <w:rsid w:val="002E5EE0"/>
    <w:rsid w:val="002F18D1"/>
    <w:rsid w:val="002F5AD1"/>
    <w:rsid w:val="00300D35"/>
    <w:rsid w:val="003011A2"/>
    <w:rsid w:val="00306AEA"/>
    <w:rsid w:val="00311646"/>
    <w:rsid w:val="00314A89"/>
    <w:rsid w:val="00314FF1"/>
    <w:rsid w:val="00315418"/>
    <w:rsid w:val="00315D5F"/>
    <w:rsid w:val="00315DCA"/>
    <w:rsid w:val="003226F6"/>
    <w:rsid w:val="003235FF"/>
    <w:rsid w:val="00327B2E"/>
    <w:rsid w:val="00331B09"/>
    <w:rsid w:val="003347D9"/>
    <w:rsid w:val="003365F2"/>
    <w:rsid w:val="00341D08"/>
    <w:rsid w:val="003429F3"/>
    <w:rsid w:val="003443D9"/>
    <w:rsid w:val="003451B9"/>
    <w:rsid w:val="0034697B"/>
    <w:rsid w:val="0034795F"/>
    <w:rsid w:val="003520F5"/>
    <w:rsid w:val="0035379D"/>
    <w:rsid w:val="00354CBD"/>
    <w:rsid w:val="00355484"/>
    <w:rsid w:val="003615AC"/>
    <w:rsid w:val="00371CE3"/>
    <w:rsid w:val="003731B8"/>
    <w:rsid w:val="003772FD"/>
    <w:rsid w:val="003809C5"/>
    <w:rsid w:val="00381C21"/>
    <w:rsid w:val="0038284A"/>
    <w:rsid w:val="00382F27"/>
    <w:rsid w:val="00386A6D"/>
    <w:rsid w:val="00391024"/>
    <w:rsid w:val="0039123B"/>
    <w:rsid w:val="0039166F"/>
    <w:rsid w:val="00391A98"/>
    <w:rsid w:val="0039247D"/>
    <w:rsid w:val="00393CA9"/>
    <w:rsid w:val="003978AB"/>
    <w:rsid w:val="003A1CE4"/>
    <w:rsid w:val="003A48E6"/>
    <w:rsid w:val="003A4971"/>
    <w:rsid w:val="003A505D"/>
    <w:rsid w:val="003A5DFC"/>
    <w:rsid w:val="003B0743"/>
    <w:rsid w:val="003B1A28"/>
    <w:rsid w:val="003B1B60"/>
    <w:rsid w:val="003B6434"/>
    <w:rsid w:val="003B7A27"/>
    <w:rsid w:val="003C14BE"/>
    <w:rsid w:val="003C3583"/>
    <w:rsid w:val="003C49AC"/>
    <w:rsid w:val="003C4BEF"/>
    <w:rsid w:val="003C625A"/>
    <w:rsid w:val="003D087C"/>
    <w:rsid w:val="003D1FFA"/>
    <w:rsid w:val="003D2EE6"/>
    <w:rsid w:val="003D3015"/>
    <w:rsid w:val="003D6A1B"/>
    <w:rsid w:val="003D7DE7"/>
    <w:rsid w:val="003E1CCD"/>
    <w:rsid w:val="003E535F"/>
    <w:rsid w:val="003F0DC9"/>
    <w:rsid w:val="003F5E67"/>
    <w:rsid w:val="003F767C"/>
    <w:rsid w:val="00402A13"/>
    <w:rsid w:val="004138CF"/>
    <w:rsid w:val="00414374"/>
    <w:rsid w:val="004227D6"/>
    <w:rsid w:val="00422F86"/>
    <w:rsid w:val="00424358"/>
    <w:rsid w:val="00432020"/>
    <w:rsid w:val="0043433B"/>
    <w:rsid w:val="00435848"/>
    <w:rsid w:val="004404E9"/>
    <w:rsid w:val="00443439"/>
    <w:rsid w:val="00443B96"/>
    <w:rsid w:val="0044539F"/>
    <w:rsid w:val="0044650F"/>
    <w:rsid w:val="004468D5"/>
    <w:rsid w:val="004470E8"/>
    <w:rsid w:val="00447890"/>
    <w:rsid w:val="004554BC"/>
    <w:rsid w:val="00456B8C"/>
    <w:rsid w:val="004572F7"/>
    <w:rsid w:val="004608EC"/>
    <w:rsid w:val="00461AE8"/>
    <w:rsid w:val="004621D3"/>
    <w:rsid w:val="004637A5"/>
    <w:rsid w:val="004709B5"/>
    <w:rsid w:val="00474DD6"/>
    <w:rsid w:val="004751C5"/>
    <w:rsid w:val="004835DE"/>
    <w:rsid w:val="00485C78"/>
    <w:rsid w:val="004974D0"/>
    <w:rsid w:val="004A249A"/>
    <w:rsid w:val="004A4A90"/>
    <w:rsid w:val="004A7181"/>
    <w:rsid w:val="004A7282"/>
    <w:rsid w:val="004B1BAC"/>
    <w:rsid w:val="004B60E1"/>
    <w:rsid w:val="004B78A1"/>
    <w:rsid w:val="004C7800"/>
    <w:rsid w:val="004D12DE"/>
    <w:rsid w:val="004D2299"/>
    <w:rsid w:val="004D601F"/>
    <w:rsid w:val="004E4451"/>
    <w:rsid w:val="004E57D6"/>
    <w:rsid w:val="004E62A7"/>
    <w:rsid w:val="004F3B57"/>
    <w:rsid w:val="004F6FFE"/>
    <w:rsid w:val="004F7236"/>
    <w:rsid w:val="004F757A"/>
    <w:rsid w:val="00500B6B"/>
    <w:rsid w:val="00504E2E"/>
    <w:rsid w:val="00506511"/>
    <w:rsid w:val="00507DDB"/>
    <w:rsid w:val="00516FD8"/>
    <w:rsid w:val="005206F3"/>
    <w:rsid w:val="005229B3"/>
    <w:rsid w:val="00526CAF"/>
    <w:rsid w:val="005405EE"/>
    <w:rsid w:val="0054566A"/>
    <w:rsid w:val="0054574D"/>
    <w:rsid w:val="0054618F"/>
    <w:rsid w:val="00552A56"/>
    <w:rsid w:val="00552F61"/>
    <w:rsid w:val="00554EE4"/>
    <w:rsid w:val="00555AA6"/>
    <w:rsid w:val="00556A80"/>
    <w:rsid w:val="00556EE5"/>
    <w:rsid w:val="00560969"/>
    <w:rsid w:val="00561668"/>
    <w:rsid w:val="00561C74"/>
    <w:rsid w:val="00564429"/>
    <w:rsid w:val="00564675"/>
    <w:rsid w:val="00564EC5"/>
    <w:rsid w:val="005727D7"/>
    <w:rsid w:val="005832D8"/>
    <w:rsid w:val="00584D56"/>
    <w:rsid w:val="0059233A"/>
    <w:rsid w:val="00595A8D"/>
    <w:rsid w:val="00595C44"/>
    <w:rsid w:val="005A093A"/>
    <w:rsid w:val="005A51AD"/>
    <w:rsid w:val="005A6FE3"/>
    <w:rsid w:val="005B130E"/>
    <w:rsid w:val="005B1609"/>
    <w:rsid w:val="005B47CB"/>
    <w:rsid w:val="005B71FB"/>
    <w:rsid w:val="005C11D6"/>
    <w:rsid w:val="005C5C25"/>
    <w:rsid w:val="005C671A"/>
    <w:rsid w:val="005C6EDC"/>
    <w:rsid w:val="005D1027"/>
    <w:rsid w:val="005D1728"/>
    <w:rsid w:val="005D40D0"/>
    <w:rsid w:val="005D5FFE"/>
    <w:rsid w:val="005D6400"/>
    <w:rsid w:val="005D7AD5"/>
    <w:rsid w:val="005E01A5"/>
    <w:rsid w:val="005E11C2"/>
    <w:rsid w:val="005F0AE4"/>
    <w:rsid w:val="005F629D"/>
    <w:rsid w:val="005F678A"/>
    <w:rsid w:val="005F70EB"/>
    <w:rsid w:val="006015AF"/>
    <w:rsid w:val="00603F7E"/>
    <w:rsid w:val="00605AA5"/>
    <w:rsid w:val="006155DD"/>
    <w:rsid w:val="00616BE7"/>
    <w:rsid w:val="00620135"/>
    <w:rsid w:val="00621103"/>
    <w:rsid w:val="00626C5A"/>
    <w:rsid w:val="00631A8B"/>
    <w:rsid w:val="00631D73"/>
    <w:rsid w:val="00632D9D"/>
    <w:rsid w:val="00641F3C"/>
    <w:rsid w:val="00643D8D"/>
    <w:rsid w:val="00645BA3"/>
    <w:rsid w:val="00646DF5"/>
    <w:rsid w:val="00647A42"/>
    <w:rsid w:val="00650048"/>
    <w:rsid w:val="00650DD8"/>
    <w:rsid w:val="006520AD"/>
    <w:rsid w:val="006600F1"/>
    <w:rsid w:val="006616E1"/>
    <w:rsid w:val="00662AA9"/>
    <w:rsid w:val="00675C9E"/>
    <w:rsid w:val="00675CB8"/>
    <w:rsid w:val="00683D0B"/>
    <w:rsid w:val="0068470C"/>
    <w:rsid w:val="00684869"/>
    <w:rsid w:val="00684ED3"/>
    <w:rsid w:val="00687E94"/>
    <w:rsid w:val="00692016"/>
    <w:rsid w:val="00692DB8"/>
    <w:rsid w:val="006963B7"/>
    <w:rsid w:val="006A7F53"/>
    <w:rsid w:val="006B4F14"/>
    <w:rsid w:val="006B568C"/>
    <w:rsid w:val="006D22F8"/>
    <w:rsid w:val="006D3C24"/>
    <w:rsid w:val="006E0996"/>
    <w:rsid w:val="006E13FD"/>
    <w:rsid w:val="006F763A"/>
    <w:rsid w:val="006F7CBB"/>
    <w:rsid w:val="0070035B"/>
    <w:rsid w:val="0070097B"/>
    <w:rsid w:val="00710DA8"/>
    <w:rsid w:val="00714C13"/>
    <w:rsid w:val="00716C18"/>
    <w:rsid w:val="00717D05"/>
    <w:rsid w:val="007213CA"/>
    <w:rsid w:val="00727157"/>
    <w:rsid w:val="00732A6A"/>
    <w:rsid w:val="00732E14"/>
    <w:rsid w:val="00733E69"/>
    <w:rsid w:val="00744251"/>
    <w:rsid w:val="007477C7"/>
    <w:rsid w:val="00753327"/>
    <w:rsid w:val="0076231C"/>
    <w:rsid w:val="00772158"/>
    <w:rsid w:val="00773254"/>
    <w:rsid w:val="007763F4"/>
    <w:rsid w:val="00776F95"/>
    <w:rsid w:val="007817D5"/>
    <w:rsid w:val="00784117"/>
    <w:rsid w:val="00785C25"/>
    <w:rsid w:val="00787D55"/>
    <w:rsid w:val="0079277D"/>
    <w:rsid w:val="007974AC"/>
    <w:rsid w:val="007A0025"/>
    <w:rsid w:val="007A0B83"/>
    <w:rsid w:val="007A0CF6"/>
    <w:rsid w:val="007A15C8"/>
    <w:rsid w:val="007A2A72"/>
    <w:rsid w:val="007A2B28"/>
    <w:rsid w:val="007A3C5E"/>
    <w:rsid w:val="007A4B24"/>
    <w:rsid w:val="007A72B4"/>
    <w:rsid w:val="007A772A"/>
    <w:rsid w:val="007C05E9"/>
    <w:rsid w:val="007C2563"/>
    <w:rsid w:val="007C5718"/>
    <w:rsid w:val="007C70A5"/>
    <w:rsid w:val="007E06B7"/>
    <w:rsid w:val="007E19F9"/>
    <w:rsid w:val="007E4F4F"/>
    <w:rsid w:val="007E6ADB"/>
    <w:rsid w:val="007F4162"/>
    <w:rsid w:val="007F536D"/>
    <w:rsid w:val="00800BBF"/>
    <w:rsid w:val="00800C0A"/>
    <w:rsid w:val="00801015"/>
    <w:rsid w:val="00802169"/>
    <w:rsid w:val="00804D5D"/>
    <w:rsid w:val="0080552C"/>
    <w:rsid w:val="0080574F"/>
    <w:rsid w:val="00806D10"/>
    <w:rsid w:val="00806DE6"/>
    <w:rsid w:val="00810125"/>
    <w:rsid w:val="00813F8A"/>
    <w:rsid w:val="008209B4"/>
    <w:rsid w:val="00822FCD"/>
    <w:rsid w:val="00823C83"/>
    <w:rsid w:val="00824D99"/>
    <w:rsid w:val="00825BD4"/>
    <w:rsid w:val="00834426"/>
    <w:rsid w:val="008452FA"/>
    <w:rsid w:val="00845F5F"/>
    <w:rsid w:val="00851EE7"/>
    <w:rsid w:val="00857C16"/>
    <w:rsid w:val="00857DFC"/>
    <w:rsid w:val="008634B3"/>
    <w:rsid w:val="00864C2C"/>
    <w:rsid w:val="008679FC"/>
    <w:rsid w:val="00870CFB"/>
    <w:rsid w:val="00871176"/>
    <w:rsid w:val="008721A7"/>
    <w:rsid w:val="00874900"/>
    <w:rsid w:val="008755DD"/>
    <w:rsid w:val="00875814"/>
    <w:rsid w:val="00876579"/>
    <w:rsid w:val="008804C8"/>
    <w:rsid w:val="008856B9"/>
    <w:rsid w:val="00886368"/>
    <w:rsid w:val="00890B15"/>
    <w:rsid w:val="00894AF7"/>
    <w:rsid w:val="0089625E"/>
    <w:rsid w:val="008A77F9"/>
    <w:rsid w:val="008B4073"/>
    <w:rsid w:val="008B4F9E"/>
    <w:rsid w:val="008B5C91"/>
    <w:rsid w:val="008B76C7"/>
    <w:rsid w:val="008C100B"/>
    <w:rsid w:val="008C48B4"/>
    <w:rsid w:val="008D3A6F"/>
    <w:rsid w:val="008E1FA6"/>
    <w:rsid w:val="008E320D"/>
    <w:rsid w:val="008F0EDF"/>
    <w:rsid w:val="008F1DC5"/>
    <w:rsid w:val="008F2E7E"/>
    <w:rsid w:val="008F3272"/>
    <w:rsid w:val="008F5E0B"/>
    <w:rsid w:val="008F684B"/>
    <w:rsid w:val="009042C6"/>
    <w:rsid w:val="00911A7C"/>
    <w:rsid w:val="0091319E"/>
    <w:rsid w:val="009139A4"/>
    <w:rsid w:val="00914743"/>
    <w:rsid w:val="0091742B"/>
    <w:rsid w:val="0092191B"/>
    <w:rsid w:val="009255F6"/>
    <w:rsid w:val="00926D89"/>
    <w:rsid w:val="009278A9"/>
    <w:rsid w:val="00930AE5"/>
    <w:rsid w:val="00945A33"/>
    <w:rsid w:val="00950508"/>
    <w:rsid w:val="009508C4"/>
    <w:rsid w:val="00951A2C"/>
    <w:rsid w:val="00952777"/>
    <w:rsid w:val="009602EA"/>
    <w:rsid w:val="0096391D"/>
    <w:rsid w:val="00964522"/>
    <w:rsid w:val="00980B82"/>
    <w:rsid w:val="00985F05"/>
    <w:rsid w:val="0099501B"/>
    <w:rsid w:val="00997021"/>
    <w:rsid w:val="0099789A"/>
    <w:rsid w:val="009A1AB8"/>
    <w:rsid w:val="009A3105"/>
    <w:rsid w:val="009A4477"/>
    <w:rsid w:val="009B0C9A"/>
    <w:rsid w:val="009B1AB3"/>
    <w:rsid w:val="009B28B3"/>
    <w:rsid w:val="009B31B7"/>
    <w:rsid w:val="009B509A"/>
    <w:rsid w:val="009C4CDD"/>
    <w:rsid w:val="009C53AE"/>
    <w:rsid w:val="009C6A14"/>
    <w:rsid w:val="009D108B"/>
    <w:rsid w:val="009D21C7"/>
    <w:rsid w:val="009E0ADF"/>
    <w:rsid w:val="009E101D"/>
    <w:rsid w:val="009E2E59"/>
    <w:rsid w:val="009E438F"/>
    <w:rsid w:val="009E5651"/>
    <w:rsid w:val="009E6C79"/>
    <w:rsid w:val="009F0ACB"/>
    <w:rsid w:val="009F2AEC"/>
    <w:rsid w:val="009F3DEE"/>
    <w:rsid w:val="009F442D"/>
    <w:rsid w:val="009F5A72"/>
    <w:rsid w:val="00A01EED"/>
    <w:rsid w:val="00A01FD9"/>
    <w:rsid w:val="00A04706"/>
    <w:rsid w:val="00A101A8"/>
    <w:rsid w:val="00A13038"/>
    <w:rsid w:val="00A21F0A"/>
    <w:rsid w:val="00A22B86"/>
    <w:rsid w:val="00A23E47"/>
    <w:rsid w:val="00A35C18"/>
    <w:rsid w:val="00A46AF4"/>
    <w:rsid w:val="00A55C93"/>
    <w:rsid w:val="00A613A6"/>
    <w:rsid w:val="00A616E8"/>
    <w:rsid w:val="00A63328"/>
    <w:rsid w:val="00A668D5"/>
    <w:rsid w:val="00A720C3"/>
    <w:rsid w:val="00A74B04"/>
    <w:rsid w:val="00A77DE6"/>
    <w:rsid w:val="00A84770"/>
    <w:rsid w:val="00A85BDD"/>
    <w:rsid w:val="00AA0F1D"/>
    <w:rsid w:val="00AA30D2"/>
    <w:rsid w:val="00AA6864"/>
    <w:rsid w:val="00AA7B9B"/>
    <w:rsid w:val="00AB0962"/>
    <w:rsid w:val="00AB1D1D"/>
    <w:rsid w:val="00AB432D"/>
    <w:rsid w:val="00AB465E"/>
    <w:rsid w:val="00AB77C5"/>
    <w:rsid w:val="00AC130D"/>
    <w:rsid w:val="00AC5200"/>
    <w:rsid w:val="00AC66F6"/>
    <w:rsid w:val="00AD686F"/>
    <w:rsid w:val="00AD6A01"/>
    <w:rsid w:val="00AE710C"/>
    <w:rsid w:val="00AF1C57"/>
    <w:rsid w:val="00AF1DC1"/>
    <w:rsid w:val="00AF22DB"/>
    <w:rsid w:val="00AF4729"/>
    <w:rsid w:val="00AF4BAB"/>
    <w:rsid w:val="00B026A6"/>
    <w:rsid w:val="00B04341"/>
    <w:rsid w:val="00B05A41"/>
    <w:rsid w:val="00B0740A"/>
    <w:rsid w:val="00B07468"/>
    <w:rsid w:val="00B10CC3"/>
    <w:rsid w:val="00B11654"/>
    <w:rsid w:val="00B150BF"/>
    <w:rsid w:val="00B20064"/>
    <w:rsid w:val="00B24F2B"/>
    <w:rsid w:val="00B256A9"/>
    <w:rsid w:val="00B305CF"/>
    <w:rsid w:val="00B31A13"/>
    <w:rsid w:val="00B31D8F"/>
    <w:rsid w:val="00B3661C"/>
    <w:rsid w:val="00B37E62"/>
    <w:rsid w:val="00B45F29"/>
    <w:rsid w:val="00B473A5"/>
    <w:rsid w:val="00B52E09"/>
    <w:rsid w:val="00B61B49"/>
    <w:rsid w:val="00B70758"/>
    <w:rsid w:val="00B7160D"/>
    <w:rsid w:val="00B738D4"/>
    <w:rsid w:val="00B82481"/>
    <w:rsid w:val="00B84837"/>
    <w:rsid w:val="00B879D5"/>
    <w:rsid w:val="00B9074B"/>
    <w:rsid w:val="00B9386D"/>
    <w:rsid w:val="00B9659F"/>
    <w:rsid w:val="00BA1CA3"/>
    <w:rsid w:val="00BA6807"/>
    <w:rsid w:val="00BB156A"/>
    <w:rsid w:val="00BB4F79"/>
    <w:rsid w:val="00BB6141"/>
    <w:rsid w:val="00BC0B0F"/>
    <w:rsid w:val="00BC233C"/>
    <w:rsid w:val="00BC4107"/>
    <w:rsid w:val="00BC4C6C"/>
    <w:rsid w:val="00BC6288"/>
    <w:rsid w:val="00BD1433"/>
    <w:rsid w:val="00BD1D11"/>
    <w:rsid w:val="00BD75AB"/>
    <w:rsid w:val="00BE3F24"/>
    <w:rsid w:val="00BE53C8"/>
    <w:rsid w:val="00BF2708"/>
    <w:rsid w:val="00C001D2"/>
    <w:rsid w:val="00C068F4"/>
    <w:rsid w:val="00C07EFE"/>
    <w:rsid w:val="00C10C43"/>
    <w:rsid w:val="00C128E9"/>
    <w:rsid w:val="00C22C7D"/>
    <w:rsid w:val="00C27294"/>
    <w:rsid w:val="00C305FD"/>
    <w:rsid w:val="00C42EB2"/>
    <w:rsid w:val="00C4644B"/>
    <w:rsid w:val="00C46910"/>
    <w:rsid w:val="00C52362"/>
    <w:rsid w:val="00C55571"/>
    <w:rsid w:val="00C61807"/>
    <w:rsid w:val="00C62444"/>
    <w:rsid w:val="00C703F4"/>
    <w:rsid w:val="00C71A2E"/>
    <w:rsid w:val="00C87823"/>
    <w:rsid w:val="00C87DA9"/>
    <w:rsid w:val="00CA718F"/>
    <w:rsid w:val="00CB24B4"/>
    <w:rsid w:val="00CC0DF1"/>
    <w:rsid w:val="00CC4224"/>
    <w:rsid w:val="00CC5CC8"/>
    <w:rsid w:val="00CC60C4"/>
    <w:rsid w:val="00CD2A67"/>
    <w:rsid w:val="00CD72AD"/>
    <w:rsid w:val="00CE07B5"/>
    <w:rsid w:val="00CE1034"/>
    <w:rsid w:val="00CE383A"/>
    <w:rsid w:val="00CE479C"/>
    <w:rsid w:val="00CE6A90"/>
    <w:rsid w:val="00CE6DEB"/>
    <w:rsid w:val="00CF3CE7"/>
    <w:rsid w:val="00CF4DCA"/>
    <w:rsid w:val="00D00AFE"/>
    <w:rsid w:val="00D01668"/>
    <w:rsid w:val="00D016F0"/>
    <w:rsid w:val="00D02941"/>
    <w:rsid w:val="00D04493"/>
    <w:rsid w:val="00D10325"/>
    <w:rsid w:val="00D1245F"/>
    <w:rsid w:val="00D1450E"/>
    <w:rsid w:val="00D2141E"/>
    <w:rsid w:val="00D21E15"/>
    <w:rsid w:val="00D24807"/>
    <w:rsid w:val="00D30824"/>
    <w:rsid w:val="00D41717"/>
    <w:rsid w:val="00D42FD5"/>
    <w:rsid w:val="00D43D66"/>
    <w:rsid w:val="00D43EE1"/>
    <w:rsid w:val="00D46907"/>
    <w:rsid w:val="00D74CC5"/>
    <w:rsid w:val="00D80E69"/>
    <w:rsid w:val="00D85C0D"/>
    <w:rsid w:val="00D90FD5"/>
    <w:rsid w:val="00D91C77"/>
    <w:rsid w:val="00DB46BC"/>
    <w:rsid w:val="00DC1552"/>
    <w:rsid w:val="00DC3A2E"/>
    <w:rsid w:val="00DC5C59"/>
    <w:rsid w:val="00DC71DA"/>
    <w:rsid w:val="00DD2848"/>
    <w:rsid w:val="00DE39D9"/>
    <w:rsid w:val="00DE3C49"/>
    <w:rsid w:val="00DE6662"/>
    <w:rsid w:val="00DF0633"/>
    <w:rsid w:val="00DF3923"/>
    <w:rsid w:val="00DF3963"/>
    <w:rsid w:val="00E042D8"/>
    <w:rsid w:val="00E04D36"/>
    <w:rsid w:val="00E06142"/>
    <w:rsid w:val="00E10B4C"/>
    <w:rsid w:val="00E10B5F"/>
    <w:rsid w:val="00E131BA"/>
    <w:rsid w:val="00E13D14"/>
    <w:rsid w:val="00E152EE"/>
    <w:rsid w:val="00E15D88"/>
    <w:rsid w:val="00E15DC4"/>
    <w:rsid w:val="00E1747E"/>
    <w:rsid w:val="00E21F72"/>
    <w:rsid w:val="00E22B99"/>
    <w:rsid w:val="00E314F6"/>
    <w:rsid w:val="00E37A0D"/>
    <w:rsid w:val="00E4225F"/>
    <w:rsid w:val="00E430A0"/>
    <w:rsid w:val="00E4371B"/>
    <w:rsid w:val="00E444D5"/>
    <w:rsid w:val="00E45F80"/>
    <w:rsid w:val="00E465F7"/>
    <w:rsid w:val="00E537B5"/>
    <w:rsid w:val="00E57174"/>
    <w:rsid w:val="00E6015C"/>
    <w:rsid w:val="00E60356"/>
    <w:rsid w:val="00E60AD8"/>
    <w:rsid w:val="00E60FA1"/>
    <w:rsid w:val="00E654C2"/>
    <w:rsid w:val="00E779DB"/>
    <w:rsid w:val="00E77C7A"/>
    <w:rsid w:val="00E8371F"/>
    <w:rsid w:val="00E83EE8"/>
    <w:rsid w:val="00E84797"/>
    <w:rsid w:val="00E87412"/>
    <w:rsid w:val="00E95CF5"/>
    <w:rsid w:val="00E972E8"/>
    <w:rsid w:val="00EA0274"/>
    <w:rsid w:val="00EA182D"/>
    <w:rsid w:val="00EA37A2"/>
    <w:rsid w:val="00EA37C1"/>
    <w:rsid w:val="00EA6A18"/>
    <w:rsid w:val="00EB2915"/>
    <w:rsid w:val="00EB2E69"/>
    <w:rsid w:val="00EB30F1"/>
    <w:rsid w:val="00EC0B43"/>
    <w:rsid w:val="00EC2780"/>
    <w:rsid w:val="00EC4D80"/>
    <w:rsid w:val="00EC5E6F"/>
    <w:rsid w:val="00EC71FB"/>
    <w:rsid w:val="00ED0F9B"/>
    <w:rsid w:val="00ED2749"/>
    <w:rsid w:val="00ED3880"/>
    <w:rsid w:val="00ED4E2C"/>
    <w:rsid w:val="00ED5A94"/>
    <w:rsid w:val="00ED7E87"/>
    <w:rsid w:val="00EE1C82"/>
    <w:rsid w:val="00EE2940"/>
    <w:rsid w:val="00EE36B6"/>
    <w:rsid w:val="00EE5238"/>
    <w:rsid w:val="00EE66C2"/>
    <w:rsid w:val="00EF10CF"/>
    <w:rsid w:val="00EF1B5B"/>
    <w:rsid w:val="00EF597A"/>
    <w:rsid w:val="00F02A7D"/>
    <w:rsid w:val="00F05B2C"/>
    <w:rsid w:val="00F06DF9"/>
    <w:rsid w:val="00F109B8"/>
    <w:rsid w:val="00F10D6F"/>
    <w:rsid w:val="00F16451"/>
    <w:rsid w:val="00F20392"/>
    <w:rsid w:val="00F2040D"/>
    <w:rsid w:val="00F24944"/>
    <w:rsid w:val="00F26DBE"/>
    <w:rsid w:val="00F272E4"/>
    <w:rsid w:val="00F35AA6"/>
    <w:rsid w:val="00F47D4A"/>
    <w:rsid w:val="00F47FBE"/>
    <w:rsid w:val="00F53696"/>
    <w:rsid w:val="00F61023"/>
    <w:rsid w:val="00F62162"/>
    <w:rsid w:val="00F627E2"/>
    <w:rsid w:val="00F63D6C"/>
    <w:rsid w:val="00F7131F"/>
    <w:rsid w:val="00F72644"/>
    <w:rsid w:val="00F769C9"/>
    <w:rsid w:val="00F80187"/>
    <w:rsid w:val="00F80FF3"/>
    <w:rsid w:val="00F8100E"/>
    <w:rsid w:val="00F82E36"/>
    <w:rsid w:val="00F84DFC"/>
    <w:rsid w:val="00F85C88"/>
    <w:rsid w:val="00FA05EB"/>
    <w:rsid w:val="00FA1E80"/>
    <w:rsid w:val="00FA41FA"/>
    <w:rsid w:val="00FA4413"/>
    <w:rsid w:val="00FA4FBB"/>
    <w:rsid w:val="00FB66B2"/>
    <w:rsid w:val="00FC314E"/>
    <w:rsid w:val="00FC3D01"/>
    <w:rsid w:val="00FC5785"/>
    <w:rsid w:val="00FC7282"/>
    <w:rsid w:val="00FC74F6"/>
    <w:rsid w:val="00FD11F6"/>
    <w:rsid w:val="00FD2D87"/>
    <w:rsid w:val="00FD3D31"/>
    <w:rsid w:val="00FD4506"/>
    <w:rsid w:val="00FD620B"/>
    <w:rsid w:val="00FD7376"/>
    <w:rsid w:val="00FD73D9"/>
    <w:rsid w:val="00FE00C0"/>
    <w:rsid w:val="00FE23E4"/>
    <w:rsid w:val="00FE2B24"/>
    <w:rsid w:val="00FE4028"/>
    <w:rsid w:val="00FE4ABD"/>
    <w:rsid w:val="00FF2981"/>
    <w:rsid w:val="024C67B7"/>
    <w:rsid w:val="02977C08"/>
    <w:rsid w:val="04B1548B"/>
    <w:rsid w:val="05AC7708"/>
    <w:rsid w:val="06C5009B"/>
    <w:rsid w:val="08B13A5E"/>
    <w:rsid w:val="0B1D36DA"/>
    <w:rsid w:val="0E0D6883"/>
    <w:rsid w:val="0E226F77"/>
    <w:rsid w:val="13A67435"/>
    <w:rsid w:val="14B06C99"/>
    <w:rsid w:val="15010DAB"/>
    <w:rsid w:val="17B50E25"/>
    <w:rsid w:val="17FD511C"/>
    <w:rsid w:val="1BD34514"/>
    <w:rsid w:val="20DC46A6"/>
    <w:rsid w:val="241D5EA1"/>
    <w:rsid w:val="24AD2555"/>
    <w:rsid w:val="27616B16"/>
    <w:rsid w:val="34D16EAD"/>
    <w:rsid w:val="363305E1"/>
    <w:rsid w:val="365517A9"/>
    <w:rsid w:val="371454CE"/>
    <w:rsid w:val="378A36E1"/>
    <w:rsid w:val="37F0754D"/>
    <w:rsid w:val="387640AE"/>
    <w:rsid w:val="39EF68E9"/>
    <w:rsid w:val="3AF04065"/>
    <w:rsid w:val="3BDB50C1"/>
    <w:rsid w:val="3C9F0472"/>
    <w:rsid w:val="402E3E65"/>
    <w:rsid w:val="41625CD4"/>
    <w:rsid w:val="4303110B"/>
    <w:rsid w:val="4BB1447C"/>
    <w:rsid w:val="4BB159CC"/>
    <w:rsid w:val="4DA14ADF"/>
    <w:rsid w:val="4F327323"/>
    <w:rsid w:val="502C33C0"/>
    <w:rsid w:val="550712FD"/>
    <w:rsid w:val="583123B7"/>
    <w:rsid w:val="590D0742"/>
    <w:rsid w:val="599A00BC"/>
    <w:rsid w:val="5D6E447F"/>
    <w:rsid w:val="603E3D01"/>
    <w:rsid w:val="6710059F"/>
    <w:rsid w:val="67817858"/>
    <w:rsid w:val="67D63061"/>
    <w:rsid w:val="69442AA0"/>
    <w:rsid w:val="6E5C2ED1"/>
    <w:rsid w:val="70393382"/>
    <w:rsid w:val="73077E12"/>
    <w:rsid w:val="73130AB7"/>
    <w:rsid w:val="79316DAE"/>
    <w:rsid w:val="7C4D77E6"/>
    <w:rsid w:val="7E1F24E8"/>
    <w:rsid w:val="7E4811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cstheme="minorHAnsi"/>
      <w:sz w:val="18"/>
      <w:szCs w:val="18"/>
    </w:rPr>
  </w:style>
  <w:style w:type="paragraph" w:styleId="6">
    <w:name w:val="Document Map"/>
    <w:basedOn w:val="1"/>
    <w:link w:val="30"/>
    <w:unhideWhenUsed/>
    <w:qFormat/>
    <w:uiPriority w:val="99"/>
    <w:rPr>
      <w:rFonts w:ascii="宋体" w:eastAsia="宋体"/>
      <w:sz w:val="18"/>
      <w:szCs w:val="18"/>
    </w:rPr>
  </w:style>
  <w:style w:type="paragraph" w:styleId="7">
    <w:name w:val="Body Text"/>
    <w:basedOn w:val="1"/>
    <w:link w:val="31"/>
    <w:unhideWhenUsed/>
    <w:qFormat/>
    <w:uiPriority w:val="99"/>
    <w:pPr>
      <w:spacing w:after="120"/>
    </w:pPr>
  </w:style>
  <w:style w:type="paragraph" w:styleId="8">
    <w:name w:val="toc 5"/>
    <w:basedOn w:val="1"/>
    <w:next w:val="1"/>
    <w:unhideWhenUsed/>
    <w:qFormat/>
    <w:uiPriority w:val="39"/>
    <w:pPr>
      <w:ind w:left="840"/>
      <w:jc w:val="left"/>
    </w:pPr>
    <w:rPr>
      <w:rFonts w:cstheme="minorHAnsi"/>
      <w:sz w:val="18"/>
      <w:szCs w:val="18"/>
    </w:rPr>
  </w:style>
  <w:style w:type="paragraph" w:styleId="9">
    <w:name w:val="toc 3"/>
    <w:basedOn w:val="1"/>
    <w:next w:val="1"/>
    <w:unhideWhenUsed/>
    <w:qFormat/>
    <w:uiPriority w:val="39"/>
    <w:pPr>
      <w:ind w:left="420"/>
      <w:jc w:val="left"/>
    </w:pPr>
    <w:rPr>
      <w:rFonts w:cstheme="minorHAnsi"/>
      <w:i/>
      <w:iCs/>
      <w:sz w:val="20"/>
      <w:szCs w:val="20"/>
    </w:rPr>
  </w:style>
  <w:style w:type="paragraph" w:styleId="10">
    <w:name w:val="Plain Text"/>
    <w:basedOn w:val="1"/>
    <w:link w:val="32"/>
    <w:qFormat/>
    <w:uiPriority w:val="0"/>
    <w:rPr>
      <w:rFonts w:hint="eastAsia" w:ascii="宋体" w:hAnsi="Courier New" w:eastAsia="宋体" w:cs="Times New Roman"/>
      <w:szCs w:val="20"/>
    </w:rPr>
  </w:style>
  <w:style w:type="paragraph" w:styleId="11">
    <w:name w:val="toc 8"/>
    <w:basedOn w:val="1"/>
    <w:next w:val="1"/>
    <w:unhideWhenUsed/>
    <w:qFormat/>
    <w:uiPriority w:val="39"/>
    <w:pPr>
      <w:ind w:left="1470"/>
      <w:jc w:val="left"/>
    </w:pPr>
    <w:rPr>
      <w:rFonts w:cstheme="minorHAnsi"/>
      <w:sz w:val="18"/>
      <w:szCs w:val="18"/>
    </w:rPr>
  </w:style>
  <w:style w:type="paragraph" w:styleId="12">
    <w:name w:val="Balloon Text"/>
    <w:basedOn w:val="1"/>
    <w:link w:val="33"/>
    <w:unhideWhenUsed/>
    <w:qFormat/>
    <w:uiPriority w:val="99"/>
    <w:rPr>
      <w:sz w:val="18"/>
      <w:szCs w:val="18"/>
    </w:rPr>
  </w:style>
  <w:style w:type="paragraph" w:styleId="13">
    <w:name w:val="footer"/>
    <w:basedOn w:val="1"/>
    <w:link w:val="34"/>
    <w:unhideWhenUsed/>
    <w:qFormat/>
    <w:uiPriority w:val="99"/>
    <w:pPr>
      <w:tabs>
        <w:tab w:val="center" w:pos="4153"/>
        <w:tab w:val="right" w:pos="8306"/>
      </w:tabs>
      <w:snapToGrid w:val="0"/>
      <w:jc w:val="left"/>
    </w:pPr>
    <w:rPr>
      <w:sz w:val="18"/>
      <w:szCs w:val="18"/>
    </w:rPr>
  </w:style>
  <w:style w:type="paragraph" w:styleId="14">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720"/>
      </w:tabs>
      <w:spacing w:before="120" w:after="120" w:line="700" w:lineRule="exact"/>
      <w:jc w:val="left"/>
    </w:pPr>
    <w:rPr>
      <w:rFonts w:ascii="黑体" w:hAnsi="黑体" w:eastAsia="黑体" w:cstheme="minorHAnsi"/>
      <w:b/>
      <w:bCs/>
      <w:caps/>
      <w:sz w:val="32"/>
      <w:szCs w:val="32"/>
    </w:rPr>
  </w:style>
  <w:style w:type="paragraph" w:styleId="16">
    <w:name w:val="toc 4"/>
    <w:basedOn w:val="1"/>
    <w:next w:val="1"/>
    <w:unhideWhenUsed/>
    <w:qFormat/>
    <w:uiPriority w:val="39"/>
    <w:pPr>
      <w:ind w:left="630"/>
      <w:jc w:val="left"/>
    </w:pPr>
    <w:rPr>
      <w:rFonts w:cstheme="minorHAnsi"/>
      <w:sz w:val="18"/>
      <w:szCs w:val="18"/>
    </w:rPr>
  </w:style>
  <w:style w:type="paragraph" w:styleId="17">
    <w:name w:val="toc 6"/>
    <w:basedOn w:val="1"/>
    <w:next w:val="1"/>
    <w:unhideWhenUsed/>
    <w:qFormat/>
    <w:uiPriority w:val="39"/>
    <w:pPr>
      <w:ind w:left="1050"/>
      <w:jc w:val="left"/>
    </w:pPr>
    <w:rPr>
      <w:rFonts w:cstheme="minorHAnsi"/>
      <w:sz w:val="18"/>
      <w:szCs w:val="18"/>
    </w:rPr>
  </w:style>
  <w:style w:type="paragraph" w:styleId="18">
    <w:name w:val="Body Text Indent 3"/>
    <w:basedOn w:val="1"/>
    <w:link w:val="36"/>
    <w:qFormat/>
    <w:uiPriority w:val="0"/>
    <w:pPr>
      <w:ind w:left="1260" w:hanging="1260" w:hangingChars="600"/>
    </w:pPr>
    <w:rPr>
      <w:rFonts w:ascii="仿宋_GB2312" w:hAnsi="Times New Roman" w:eastAsia="仿宋_GB2312" w:cs="Times New Roman"/>
      <w:szCs w:val="30"/>
    </w:rPr>
  </w:style>
  <w:style w:type="paragraph" w:styleId="19">
    <w:name w:val="toc 2"/>
    <w:basedOn w:val="1"/>
    <w:next w:val="1"/>
    <w:unhideWhenUsed/>
    <w:qFormat/>
    <w:uiPriority w:val="39"/>
    <w:pPr>
      <w:tabs>
        <w:tab w:val="right" w:leader="dot" w:pos="8720"/>
      </w:tabs>
      <w:spacing w:line="600" w:lineRule="exact"/>
      <w:ind w:left="210" w:firstLine="125" w:firstLineChars="39"/>
      <w:jc w:val="left"/>
    </w:pPr>
    <w:rPr>
      <w:rFonts w:cstheme="minorHAnsi"/>
      <w:smallCaps/>
      <w:sz w:val="20"/>
      <w:szCs w:val="20"/>
    </w:rPr>
  </w:style>
  <w:style w:type="paragraph" w:styleId="20">
    <w:name w:val="toc 9"/>
    <w:basedOn w:val="1"/>
    <w:next w:val="1"/>
    <w:unhideWhenUsed/>
    <w:qFormat/>
    <w:uiPriority w:val="39"/>
    <w:pPr>
      <w:ind w:left="1680"/>
      <w:jc w:val="left"/>
    </w:pPr>
    <w:rPr>
      <w:rFonts w:cstheme="minorHAnsi"/>
      <w:sz w:val="18"/>
      <w:szCs w:val="18"/>
    </w:rPr>
  </w:style>
  <w:style w:type="paragraph" w:styleId="21">
    <w:name w:val="Normal (Web)"/>
    <w:basedOn w:val="1"/>
    <w:qFormat/>
    <w:uiPriority w:val="0"/>
    <w:pPr>
      <w:spacing w:before="100" w:beforeAutospacing="1" w:after="100" w:afterAutospacing="1"/>
      <w:jc w:val="left"/>
    </w:pPr>
    <w:rPr>
      <w:rFonts w:ascii="Times New Roman" w:hAnsi="Times New Roman" w:eastAsia="宋体" w:cs="Times New Roman"/>
      <w:kern w:val="0"/>
      <w:sz w:val="24"/>
      <w:szCs w:val="24"/>
    </w:rPr>
  </w:style>
  <w:style w:type="table" w:styleId="23">
    <w:name w:val="Table Grid"/>
    <w:basedOn w:val="2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25">
    <w:name w:val="FollowedHyperlink"/>
    <w:basedOn w:val="24"/>
    <w:unhideWhenUsed/>
    <w:qFormat/>
    <w:uiPriority w:val="99"/>
    <w:rPr>
      <w:color w:val="800080"/>
      <w:u w:val="single"/>
    </w:rPr>
  </w:style>
  <w:style w:type="character" w:styleId="26">
    <w:name w:val="Hyperlink"/>
    <w:basedOn w:val="24"/>
    <w:qFormat/>
    <w:uiPriority w:val="99"/>
    <w:rPr>
      <w:color w:val="0000FF"/>
      <w:u w:val="single"/>
    </w:rPr>
  </w:style>
  <w:style w:type="character" w:customStyle="1" w:styleId="27">
    <w:name w:val="标题 1 Char"/>
    <w:basedOn w:val="24"/>
    <w:link w:val="2"/>
    <w:qFormat/>
    <w:uiPriority w:val="9"/>
    <w:rPr>
      <w:rFonts w:asciiTheme="minorHAnsi" w:hAnsiTheme="minorHAnsi" w:eastAsiaTheme="minorEastAsia" w:cstheme="minorBidi"/>
      <w:b/>
      <w:bCs/>
      <w:kern w:val="44"/>
      <w:sz w:val="44"/>
      <w:szCs w:val="44"/>
    </w:rPr>
  </w:style>
  <w:style w:type="character" w:customStyle="1" w:styleId="28">
    <w:name w:val="标题 2 Char"/>
    <w:basedOn w:val="24"/>
    <w:link w:val="3"/>
    <w:qFormat/>
    <w:uiPriority w:val="9"/>
    <w:rPr>
      <w:rFonts w:asciiTheme="majorHAnsi" w:hAnsiTheme="majorHAnsi" w:eastAsiaTheme="majorEastAsia" w:cstheme="majorBidi"/>
      <w:b/>
      <w:bCs/>
      <w:kern w:val="2"/>
      <w:sz w:val="32"/>
      <w:szCs w:val="32"/>
    </w:rPr>
  </w:style>
  <w:style w:type="character" w:customStyle="1" w:styleId="29">
    <w:name w:val="标题 3 Char"/>
    <w:basedOn w:val="24"/>
    <w:link w:val="4"/>
    <w:qFormat/>
    <w:uiPriority w:val="9"/>
    <w:rPr>
      <w:rFonts w:asciiTheme="minorHAnsi" w:hAnsiTheme="minorHAnsi" w:eastAsiaTheme="minorEastAsia" w:cstheme="minorBidi"/>
      <w:b/>
      <w:bCs/>
      <w:kern w:val="2"/>
      <w:sz w:val="32"/>
      <w:szCs w:val="32"/>
    </w:rPr>
  </w:style>
  <w:style w:type="character" w:customStyle="1" w:styleId="30">
    <w:name w:val="文档结构图 Char"/>
    <w:basedOn w:val="24"/>
    <w:link w:val="6"/>
    <w:semiHidden/>
    <w:qFormat/>
    <w:uiPriority w:val="99"/>
    <w:rPr>
      <w:rFonts w:ascii="宋体" w:hAnsiTheme="minorHAnsi" w:cstheme="minorBidi"/>
      <w:kern w:val="2"/>
      <w:sz w:val="18"/>
      <w:szCs w:val="18"/>
    </w:rPr>
  </w:style>
  <w:style w:type="character" w:customStyle="1" w:styleId="31">
    <w:name w:val="正文文本 Char"/>
    <w:basedOn w:val="24"/>
    <w:link w:val="7"/>
    <w:semiHidden/>
    <w:qFormat/>
    <w:uiPriority w:val="99"/>
  </w:style>
  <w:style w:type="character" w:customStyle="1" w:styleId="32">
    <w:name w:val="纯文本 Char"/>
    <w:basedOn w:val="24"/>
    <w:link w:val="10"/>
    <w:qFormat/>
    <w:uiPriority w:val="0"/>
    <w:rPr>
      <w:rFonts w:ascii="宋体" w:hAnsi="Courier New" w:eastAsia="宋体" w:cs="Times New Roman"/>
      <w:szCs w:val="20"/>
    </w:rPr>
  </w:style>
  <w:style w:type="character" w:customStyle="1" w:styleId="33">
    <w:name w:val="批注框文本 Char"/>
    <w:basedOn w:val="24"/>
    <w:link w:val="12"/>
    <w:semiHidden/>
    <w:qFormat/>
    <w:uiPriority w:val="99"/>
    <w:rPr>
      <w:rFonts w:asciiTheme="minorHAnsi" w:hAnsiTheme="minorHAnsi" w:eastAsiaTheme="minorEastAsia" w:cstheme="minorBidi"/>
      <w:kern w:val="2"/>
      <w:sz w:val="18"/>
      <w:szCs w:val="18"/>
    </w:rPr>
  </w:style>
  <w:style w:type="character" w:customStyle="1" w:styleId="34">
    <w:name w:val="页脚 Char"/>
    <w:basedOn w:val="24"/>
    <w:link w:val="13"/>
    <w:qFormat/>
    <w:uiPriority w:val="99"/>
    <w:rPr>
      <w:sz w:val="18"/>
      <w:szCs w:val="18"/>
    </w:rPr>
  </w:style>
  <w:style w:type="character" w:customStyle="1" w:styleId="35">
    <w:name w:val="页眉 Char"/>
    <w:basedOn w:val="24"/>
    <w:link w:val="14"/>
    <w:semiHidden/>
    <w:qFormat/>
    <w:uiPriority w:val="99"/>
    <w:rPr>
      <w:sz w:val="18"/>
      <w:szCs w:val="18"/>
    </w:rPr>
  </w:style>
  <w:style w:type="character" w:customStyle="1" w:styleId="36">
    <w:name w:val="正文文本缩进 3 Char"/>
    <w:basedOn w:val="24"/>
    <w:link w:val="18"/>
    <w:qFormat/>
    <w:uiPriority w:val="0"/>
    <w:rPr>
      <w:rFonts w:ascii="仿宋_GB2312" w:hAnsi="Times New Roman" w:eastAsia="仿宋_GB2312" w:cs="Times New Roman"/>
      <w:szCs w:val="30"/>
    </w:rPr>
  </w:style>
  <w:style w:type="paragraph" w:customStyle="1" w:styleId="37">
    <w:name w:val="列出段落1"/>
    <w:basedOn w:val="1"/>
    <w:qFormat/>
    <w:uiPriority w:val="34"/>
    <w:pPr>
      <w:ind w:firstLine="420" w:firstLineChars="200"/>
    </w:pPr>
  </w:style>
  <w:style w:type="character" w:customStyle="1" w:styleId="38">
    <w:name w:val="font11"/>
    <w:basedOn w:val="24"/>
    <w:qFormat/>
    <w:uiPriority w:val="0"/>
    <w:rPr>
      <w:rFonts w:hint="eastAsia" w:ascii="宋体" w:hAnsi="宋体" w:eastAsia="宋体" w:cs="宋体"/>
      <w:color w:val="000000"/>
      <w:sz w:val="22"/>
      <w:szCs w:val="22"/>
      <w:u w:val="none"/>
    </w:rPr>
  </w:style>
  <w:style w:type="character" w:customStyle="1" w:styleId="39">
    <w:name w:val="font31"/>
    <w:basedOn w:val="24"/>
    <w:qFormat/>
    <w:uiPriority w:val="0"/>
    <w:rPr>
      <w:rFonts w:hint="default" w:ascii="Times New Roman" w:hAnsi="Times New Roman" w:cs="Times New Roman"/>
      <w:color w:val="000000"/>
      <w:sz w:val="22"/>
      <w:szCs w:val="22"/>
      <w:u w:val="none"/>
    </w:rPr>
  </w:style>
  <w:style w:type="character" w:customStyle="1" w:styleId="40">
    <w:name w:val="font21"/>
    <w:basedOn w:val="24"/>
    <w:qFormat/>
    <w:uiPriority w:val="0"/>
    <w:rPr>
      <w:rFonts w:ascii="Calibri" w:hAnsi="Calibri" w:cs="Calibri"/>
      <w:color w:val="000000"/>
      <w:sz w:val="21"/>
      <w:szCs w:val="21"/>
      <w:u w:val="none"/>
    </w:rPr>
  </w:style>
  <w:style w:type="character" w:customStyle="1" w:styleId="41">
    <w:name w:val="font41"/>
    <w:basedOn w:val="24"/>
    <w:qFormat/>
    <w:uiPriority w:val="0"/>
    <w:rPr>
      <w:rFonts w:hint="eastAsia" w:ascii="宋体" w:hAnsi="宋体" w:eastAsia="宋体" w:cs="宋体"/>
      <w:color w:val="000000"/>
      <w:sz w:val="21"/>
      <w:szCs w:val="21"/>
      <w:u w:val="none"/>
    </w:rPr>
  </w:style>
  <w:style w:type="character" w:customStyle="1" w:styleId="42">
    <w:name w:val="font101"/>
    <w:basedOn w:val="24"/>
    <w:qFormat/>
    <w:uiPriority w:val="0"/>
    <w:rPr>
      <w:rFonts w:hint="eastAsia" w:ascii="宋体" w:hAnsi="宋体" w:eastAsia="宋体" w:cs="宋体"/>
      <w:color w:val="000000"/>
      <w:sz w:val="20"/>
      <w:szCs w:val="20"/>
      <w:u w:val="none"/>
    </w:rPr>
  </w:style>
  <w:style w:type="character" w:customStyle="1" w:styleId="43">
    <w:name w:val="font91"/>
    <w:basedOn w:val="24"/>
    <w:qFormat/>
    <w:uiPriority w:val="0"/>
    <w:rPr>
      <w:rFonts w:hint="default" w:ascii="Times New Roman" w:hAnsi="Times New Roman" w:cs="Times New Roman"/>
      <w:b/>
      <w:color w:val="000000"/>
      <w:sz w:val="22"/>
      <w:szCs w:val="22"/>
      <w:u w:val="none"/>
    </w:rPr>
  </w:style>
  <w:style w:type="character" w:customStyle="1" w:styleId="44">
    <w:name w:val="font51"/>
    <w:basedOn w:val="24"/>
    <w:qFormat/>
    <w:uiPriority w:val="0"/>
    <w:rPr>
      <w:rFonts w:hint="default" w:ascii="DY247 + ZKJECE-247" w:hAnsi="DY247 + ZKJECE-247" w:eastAsia="DY247 + ZKJECE-247" w:cs="DY247 + ZKJECE-247"/>
      <w:color w:val="000000"/>
      <w:sz w:val="21"/>
      <w:szCs w:val="21"/>
      <w:u w:val="none"/>
    </w:rPr>
  </w:style>
  <w:style w:type="character" w:customStyle="1" w:styleId="45">
    <w:name w:val="font71"/>
    <w:basedOn w:val="24"/>
    <w:qFormat/>
    <w:uiPriority w:val="0"/>
    <w:rPr>
      <w:rFonts w:hint="eastAsia" w:ascii="宋体" w:hAnsi="宋体" w:eastAsia="宋体" w:cs="宋体"/>
      <w:color w:val="000000"/>
      <w:sz w:val="18"/>
      <w:szCs w:val="18"/>
      <w:u w:val="none"/>
    </w:rPr>
  </w:style>
  <w:style w:type="character" w:customStyle="1" w:styleId="46">
    <w:name w:val="font81"/>
    <w:basedOn w:val="24"/>
    <w:qFormat/>
    <w:uiPriority w:val="0"/>
    <w:rPr>
      <w:rFonts w:hint="default" w:ascii="Times New Roman" w:hAnsi="Times New Roman" w:cs="Times New Roman"/>
      <w:color w:val="000000"/>
      <w:sz w:val="18"/>
      <w:szCs w:val="18"/>
      <w:u w:val="none"/>
    </w:rPr>
  </w:style>
  <w:style w:type="character" w:customStyle="1" w:styleId="47">
    <w:name w:val="font61"/>
    <w:basedOn w:val="24"/>
    <w:qFormat/>
    <w:uiPriority w:val="0"/>
    <w:rPr>
      <w:rFonts w:hint="eastAsia" w:ascii="宋体" w:hAnsi="宋体" w:eastAsia="宋体" w:cs="宋体"/>
      <w:color w:val="000000"/>
      <w:sz w:val="20"/>
      <w:szCs w:val="20"/>
      <w:u w:val="none"/>
    </w:rPr>
  </w:style>
  <w:style w:type="character" w:customStyle="1" w:styleId="48">
    <w:name w:val="font212"/>
    <w:basedOn w:val="24"/>
    <w:qFormat/>
    <w:uiPriority w:val="0"/>
    <w:rPr>
      <w:rFonts w:hint="eastAsia" w:ascii="宋体" w:hAnsi="宋体" w:eastAsia="宋体" w:cs="宋体"/>
      <w:color w:val="000000"/>
      <w:sz w:val="20"/>
      <w:szCs w:val="20"/>
      <w:u w:val="none"/>
    </w:rPr>
  </w:style>
  <w:style w:type="character" w:customStyle="1" w:styleId="49">
    <w:name w:val="font191"/>
    <w:basedOn w:val="24"/>
    <w:qFormat/>
    <w:uiPriority w:val="0"/>
    <w:rPr>
      <w:rFonts w:hint="eastAsia" w:ascii="宋体" w:hAnsi="宋体" w:eastAsia="宋体" w:cs="宋体"/>
      <w:color w:val="000000"/>
      <w:sz w:val="20"/>
      <w:szCs w:val="20"/>
      <w:u w:val="none"/>
    </w:rPr>
  </w:style>
  <w:style w:type="character" w:customStyle="1" w:styleId="50">
    <w:name w:val="font111"/>
    <w:basedOn w:val="24"/>
    <w:qFormat/>
    <w:uiPriority w:val="0"/>
    <w:rPr>
      <w:rFonts w:hint="default" w:ascii="Times New Roman" w:hAnsi="Times New Roman" w:cs="Times New Roman"/>
      <w:color w:val="000000"/>
      <w:sz w:val="20"/>
      <w:szCs w:val="20"/>
      <w:u w:val="none"/>
    </w:rPr>
  </w:style>
  <w:style w:type="character" w:customStyle="1" w:styleId="51">
    <w:name w:val="font171"/>
    <w:basedOn w:val="24"/>
    <w:qFormat/>
    <w:uiPriority w:val="0"/>
    <w:rPr>
      <w:rFonts w:ascii="Arial" w:hAnsi="Arial" w:cs="Arial"/>
      <w:color w:val="333333"/>
      <w:sz w:val="20"/>
      <w:szCs w:val="20"/>
      <w:u w:val="none"/>
    </w:rPr>
  </w:style>
  <w:style w:type="character" w:customStyle="1" w:styleId="52">
    <w:name w:val="font241"/>
    <w:basedOn w:val="24"/>
    <w:qFormat/>
    <w:uiPriority w:val="0"/>
    <w:rPr>
      <w:rFonts w:hint="eastAsia" w:ascii="宋体" w:hAnsi="宋体" w:eastAsia="宋体" w:cs="宋体"/>
      <w:color w:val="333333"/>
      <w:sz w:val="20"/>
      <w:szCs w:val="20"/>
      <w:u w:val="none"/>
    </w:rPr>
  </w:style>
  <w:style w:type="character" w:customStyle="1" w:styleId="53">
    <w:name w:val="font151"/>
    <w:basedOn w:val="24"/>
    <w:qFormat/>
    <w:uiPriority w:val="0"/>
    <w:rPr>
      <w:rFonts w:hint="default" w:ascii="Arial" w:hAnsi="Arial" w:cs="Arial"/>
      <w:color w:val="000000"/>
      <w:sz w:val="20"/>
      <w:szCs w:val="20"/>
      <w:u w:val="none"/>
    </w:rPr>
  </w:style>
  <w:style w:type="character" w:customStyle="1" w:styleId="54">
    <w:name w:val="font251"/>
    <w:basedOn w:val="24"/>
    <w:qFormat/>
    <w:uiPriority w:val="0"/>
    <w:rPr>
      <w:rFonts w:ascii="Calibri" w:hAnsi="Calibri" w:cs="Calibri"/>
      <w:color w:val="000000"/>
      <w:sz w:val="20"/>
      <w:szCs w:val="20"/>
      <w:u w:val="none"/>
    </w:rPr>
  </w:style>
  <w:style w:type="character" w:customStyle="1" w:styleId="55">
    <w:name w:val="font131"/>
    <w:basedOn w:val="24"/>
    <w:qFormat/>
    <w:uiPriority w:val="0"/>
    <w:rPr>
      <w:rFonts w:hint="default" w:ascii="Calibri" w:hAnsi="Calibri" w:cs="Calibri"/>
      <w:color w:val="000000"/>
      <w:sz w:val="20"/>
      <w:szCs w:val="20"/>
      <w:u w:val="none"/>
    </w:rPr>
  </w:style>
  <w:style w:type="character" w:customStyle="1" w:styleId="56">
    <w:name w:val="font231"/>
    <w:basedOn w:val="24"/>
    <w:qFormat/>
    <w:uiPriority w:val="0"/>
    <w:rPr>
      <w:rFonts w:hint="default" w:ascii="Times New Roman" w:hAnsi="Times New Roman" w:cs="Times New Roman"/>
      <w:color w:val="000000"/>
      <w:sz w:val="22"/>
      <w:szCs w:val="22"/>
      <w:u w:val="none"/>
    </w:rPr>
  </w:style>
  <w:style w:type="character" w:customStyle="1" w:styleId="57">
    <w:name w:val="font121"/>
    <w:basedOn w:val="24"/>
    <w:qFormat/>
    <w:uiPriority w:val="0"/>
    <w:rPr>
      <w:rFonts w:hint="default" w:ascii="Calibri" w:hAnsi="Calibri" w:cs="Calibri"/>
      <w:color w:val="000000"/>
      <w:sz w:val="20"/>
      <w:szCs w:val="20"/>
      <w:u w:val="none"/>
    </w:rPr>
  </w:style>
  <w:style w:type="paragraph" w:styleId="58">
    <w:name w:val="List Paragraph"/>
    <w:basedOn w:val="1"/>
    <w:qFormat/>
    <w:uiPriority w:val="34"/>
    <w:pPr>
      <w:ind w:firstLine="420" w:firstLineChars="200"/>
    </w:pPr>
  </w:style>
  <w:style w:type="paragraph" w:customStyle="1" w:styleId="59">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60">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61">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eastAsia="宋体" w:cs="宋体"/>
      <w:kern w:val="0"/>
      <w:sz w:val="20"/>
      <w:szCs w:val="20"/>
    </w:rPr>
  </w:style>
  <w:style w:type="paragraph" w:customStyle="1" w:styleId="62">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Arial" w:hAnsi="Arial" w:eastAsia="宋体" w:cs="Arial"/>
      <w:color w:val="000000"/>
      <w:kern w:val="0"/>
      <w:sz w:val="28"/>
      <w:szCs w:val="28"/>
    </w:rPr>
  </w:style>
  <w:style w:type="paragraph" w:customStyle="1" w:styleId="63">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Arial" w:hAnsi="Arial" w:eastAsia="宋体" w:cs="Arial"/>
      <w:color w:val="000000"/>
      <w:kern w:val="0"/>
      <w:sz w:val="20"/>
      <w:szCs w:val="20"/>
    </w:rPr>
  </w:style>
  <w:style w:type="paragraph" w:customStyle="1" w:styleId="64">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eastAsia="宋体" w:cs="宋体"/>
      <w:kern w:val="0"/>
      <w:sz w:val="20"/>
      <w:szCs w:val="20"/>
    </w:rPr>
  </w:style>
  <w:style w:type="paragraph" w:customStyle="1" w:styleId="6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eastAsia="宋体" w:cs="宋体"/>
      <w:color w:val="000000"/>
      <w:kern w:val="0"/>
      <w:sz w:val="20"/>
      <w:szCs w:val="20"/>
    </w:rPr>
  </w:style>
  <w:style w:type="paragraph" w:customStyle="1" w:styleId="66">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eastAsia="宋体" w:cs="宋体"/>
      <w:color w:val="000000"/>
      <w:kern w:val="0"/>
      <w:sz w:val="28"/>
      <w:szCs w:val="28"/>
    </w:rPr>
  </w:style>
  <w:style w:type="paragraph" w:customStyle="1" w:styleId="67">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eastAsia="宋体" w:cs="宋体"/>
      <w:kern w:val="0"/>
      <w:sz w:val="28"/>
      <w:szCs w:val="28"/>
    </w:rPr>
  </w:style>
  <w:style w:type="paragraph" w:customStyle="1" w:styleId="68">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Arial" w:hAnsi="Arial" w:eastAsia="宋体" w:cs="Arial"/>
      <w:kern w:val="0"/>
      <w:sz w:val="28"/>
      <w:szCs w:val="28"/>
    </w:rPr>
  </w:style>
  <w:style w:type="paragraph" w:customStyle="1" w:styleId="69">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eastAsia="宋体" w:cs="宋体"/>
      <w:kern w:val="0"/>
      <w:sz w:val="24"/>
      <w:szCs w:val="24"/>
    </w:rPr>
  </w:style>
  <w:style w:type="paragraph" w:customStyle="1" w:styleId="70">
    <w:name w:val="xl74"/>
    <w:basedOn w:val="1"/>
    <w:qFormat/>
    <w:uiPriority w:val="0"/>
    <w:pPr>
      <w:widowControl/>
      <w:pBdr>
        <w:top w:val="single" w:color="auto" w:sz="4" w:space="0"/>
        <w:left w:val="single" w:color="auto" w:sz="4" w:space="0"/>
        <w:right w:val="single" w:color="auto" w:sz="4" w:space="0"/>
      </w:pBdr>
      <w:shd w:val="clear" w:color="000000" w:fill="C7EDCC"/>
      <w:spacing w:before="100" w:beforeAutospacing="1" w:after="100" w:afterAutospacing="1"/>
      <w:jc w:val="center"/>
    </w:pPr>
    <w:rPr>
      <w:rFonts w:ascii="宋体" w:hAnsi="宋体" w:eastAsia="宋体" w:cs="宋体"/>
      <w:kern w:val="0"/>
      <w:sz w:val="20"/>
      <w:szCs w:val="20"/>
    </w:rPr>
  </w:style>
  <w:style w:type="paragraph" w:customStyle="1" w:styleId="71">
    <w:name w:val="xl7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黑体" w:hAnsi="黑体" w:eastAsia="黑体" w:cs="宋体"/>
      <w:kern w:val="0"/>
      <w:sz w:val="24"/>
      <w:szCs w:val="24"/>
    </w:rPr>
  </w:style>
  <w:style w:type="paragraph" w:customStyle="1" w:styleId="72">
    <w:name w:val="xl76"/>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黑体" w:hAnsi="黑体" w:eastAsia="黑体" w:cs="宋体"/>
      <w:kern w:val="0"/>
      <w:sz w:val="24"/>
      <w:szCs w:val="24"/>
    </w:rPr>
  </w:style>
  <w:style w:type="character" w:customStyle="1" w:styleId="73">
    <w:name w:val="font112"/>
    <w:basedOn w:val="24"/>
    <w:qFormat/>
    <w:uiPriority w:val="0"/>
    <w:rPr>
      <w:rFonts w:hint="default" w:ascii="Times New Roman" w:hAnsi="Times New Roman" w:cs="Times New Roman"/>
      <w:b/>
      <w:color w:val="000000"/>
      <w:sz w:val="22"/>
      <w:szCs w:val="22"/>
      <w:u w:val="none"/>
    </w:rPr>
  </w:style>
  <w:style w:type="character" w:customStyle="1" w:styleId="74">
    <w:name w:val="font141"/>
    <w:basedOn w:val="24"/>
    <w:qFormat/>
    <w:uiPriority w:val="0"/>
    <w:rPr>
      <w:rFonts w:hint="default" w:ascii="Times New Roman" w:hAnsi="Times New Roman" w:cs="Times New Roman"/>
      <w:i/>
      <w:color w:val="808080"/>
      <w:sz w:val="20"/>
      <w:szCs w:val="20"/>
      <w:u w:val="none"/>
    </w:rPr>
  </w:style>
  <w:style w:type="character" w:customStyle="1" w:styleId="75">
    <w:name w:val="font01"/>
    <w:basedOn w:val="24"/>
    <w:qFormat/>
    <w:uiPriority w:val="0"/>
    <w:rPr>
      <w:rFonts w:hint="eastAsia" w:ascii="宋体" w:hAnsi="宋体" w:eastAsia="宋体" w:cs="宋体"/>
      <w:color w:val="000000"/>
      <w:sz w:val="24"/>
      <w:szCs w:val="24"/>
      <w:u w:val="none"/>
    </w:rPr>
  </w:style>
  <w:style w:type="paragraph" w:customStyle="1" w:styleId="76">
    <w:name w:val="xl77"/>
    <w:basedOn w:val="1"/>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ascii="Times New Roman" w:hAnsi="Times New Roman" w:eastAsia="宋体" w:cs="Times New Roman"/>
      <w:kern w:val="0"/>
      <w:szCs w:val="21"/>
    </w:rPr>
  </w:style>
  <w:style w:type="paragraph" w:customStyle="1" w:styleId="77">
    <w:name w:val="xl78"/>
    <w:basedOn w:val="1"/>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Times New Roman" w:hAnsi="Times New Roman" w:eastAsia="宋体" w:cs="Times New Roman"/>
      <w:kern w:val="0"/>
      <w:szCs w:val="21"/>
    </w:rPr>
  </w:style>
  <w:style w:type="paragraph" w:customStyle="1" w:styleId="78">
    <w:name w:val="font7"/>
    <w:basedOn w:val="1"/>
    <w:uiPriority w:val="0"/>
    <w:pPr>
      <w:widowControl/>
      <w:spacing w:before="100" w:beforeAutospacing="1" w:after="100" w:afterAutospacing="1"/>
      <w:jc w:val="left"/>
    </w:pPr>
    <w:rPr>
      <w:rFonts w:ascii="宋体" w:hAnsi="宋体" w:eastAsia="宋体" w:cs="宋体"/>
      <w:color w:val="000000"/>
      <w:kern w:val="0"/>
      <w:szCs w:val="21"/>
    </w:rPr>
  </w:style>
  <w:style w:type="paragraph" w:customStyle="1" w:styleId="79">
    <w:name w:val="font8"/>
    <w:basedOn w:val="1"/>
    <w:uiPriority w:val="0"/>
    <w:pPr>
      <w:widowControl/>
      <w:spacing w:before="100" w:beforeAutospacing="1" w:after="100" w:afterAutospacing="1"/>
      <w:jc w:val="left"/>
    </w:pPr>
    <w:rPr>
      <w:rFonts w:ascii="MS Mincho" w:hAnsi="MS Mincho" w:eastAsia="MS Mincho" w:cs="宋体"/>
      <w:color w:val="000000"/>
      <w:kern w:val="0"/>
      <w:szCs w:val="21"/>
    </w:rPr>
  </w:style>
  <w:style w:type="paragraph" w:customStyle="1" w:styleId="80">
    <w:name w:val="font9"/>
    <w:basedOn w:val="1"/>
    <w:uiPriority w:val="0"/>
    <w:pPr>
      <w:widowControl/>
      <w:spacing w:before="100" w:beforeAutospacing="1" w:after="100" w:afterAutospacing="1"/>
      <w:jc w:val="left"/>
    </w:pPr>
    <w:rPr>
      <w:rFonts w:ascii="仿宋" w:hAnsi="仿宋" w:eastAsia="仿宋" w:cs="宋体"/>
      <w:b/>
      <w:bCs/>
      <w:color w:val="000000"/>
      <w:kern w:val="0"/>
      <w:szCs w:val="21"/>
    </w:rPr>
  </w:style>
  <w:style w:type="paragraph" w:customStyle="1" w:styleId="81">
    <w:name w:val="font10"/>
    <w:basedOn w:val="1"/>
    <w:uiPriority w:val="0"/>
    <w:pPr>
      <w:widowControl/>
      <w:spacing w:before="100" w:beforeAutospacing="1" w:after="100" w:afterAutospacing="1"/>
      <w:jc w:val="left"/>
    </w:pPr>
    <w:rPr>
      <w:rFonts w:ascii="仿宋" w:hAnsi="仿宋" w:eastAsia="仿宋" w:cs="宋体"/>
      <w:b/>
      <w:bCs/>
      <w:color w:val="000000"/>
      <w:kern w:val="0"/>
      <w:szCs w:val="21"/>
    </w:rPr>
  </w:style>
  <w:style w:type="paragraph" w:customStyle="1" w:styleId="82">
    <w:name w:val="font12"/>
    <w:basedOn w:val="1"/>
    <w:uiPriority w:val="0"/>
    <w:pPr>
      <w:widowControl/>
      <w:spacing w:before="100" w:beforeAutospacing="1" w:after="100" w:afterAutospacing="1"/>
      <w:jc w:val="left"/>
    </w:pPr>
    <w:rPr>
      <w:rFonts w:ascii="仿宋" w:hAnsi="仿宋" w:eastAsia="仿宋" w:cs="宋体"/>
      <w:color w:val="000000"/>
      <w:kern w:val="0"/>
      <w:szCs w:val="21"/>
    </w:rPr>
  </w:style>
  <w:style w:type="paragraph" w:customStyle="1" w:styleId="83">
    <w:name w:val="font13"/>
    <w:basedOn w:val="1"/>
    <w:uiPriority w:val="0"/>
    <w:pPr>
      <w:widowControl/>
      <w:spacing w:before="100" w:beforeAutospacing="1" w:after="100" w:afterAutospacing="1"/>
      <w:jc w:val="left"/>
    </w:pPr>
    <w:rPr>
      <w:rFonts w:ascii="宋体" w:hAnsi="宋体" w:eastAsia="宋体"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customXml" Target="../customXml/item1.xml"/><Relationship Id="rId60" Type="http://schemas.openxmlformats.org/officeDocument/2006/relationships/image" Target="media/image50.jpeg"/><Relationship Id="rId6" Type="http://schemas.openxmlformats.org/officeDocument/2006/relationships/theme" Target="theme/theme1.xml"/><Relationship Id="rId59" Type="http://schemas.openxmlformats.org/officeDocument/2006/relationships/image" Target="media/image49.jpe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jpe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jpeg"/><Relationship Id="rId52" Type="http://schemas.openxmlformats.org/officeDocument/2006/relationships/image" Target="media/image42.pn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footer" Target="footer2.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png"/><Relationship Id="rId43" Type="http://schemas.openxmlformats.org/officeDocument/2006/relationships/image" Target="media/image33.jpeg"/><Relationship Id="rId42" Type="http://schemas.openxmlformats.org/officeDocument/2006/relationships/image" Target="media/image32.pn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microsoft.com/office/2007/relationships/hdphoto" Target="../NUL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diagramColors" Target="diagrams/colors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BE3A0A1-D2E9-4100-BD3B-51BFC3D32A2F}" type="doc">
      <dgm:prSet loTypeId="urn:microsoft.com/office/officeart/2005/8/layout/hList1" loCatId="list" qsTypeId="urn:microsoft.com/office/officeart/2005/8/quickstyle/simple1#1" qsCatId="simple" csTypeId="urn:microsoft.com/office/officeart/2005/8/colors/accent1_2#1" csCatId="accent1" phldr="1"/>
      <dgm:spPr/>
      <dgm:t>
        <a:bodyPr/>
        <a:p>
          <a:endParaRPr lang="zh-CN" altLang="en-US"/>
        </a:p>
      </dgm:t>
    </dgm:pt>
    <dgm:pt modelId="{8172B5F7-D0BA-4D45-A71F-D1D48EAE9187}">
      <dgm:prSet phldrT="[文本]"/>
      <dgm:spPr/>
      <dgm:t>
        <a:bodyPr/>
        <a:p>
          <a:r>
            <a:rPr lang="zh-CN" altLang="en-US" b="1">
              <a:solidFill>
                <a:schemeClr val="bg2"/>
              </a:solidFill>
              <a:latin typeface="黑体" panose="02010609060101010101" charset="-122"/>
              <a:ea typeface="黑体" panose="02010609060101010101" charset="-122"/>
            </a:rPr>
            <a:t>教学实验中心</a:t>
          </a:r>
        </a:p>
      </dgm:t>
    </dgm:pt>
    <dgm:pt modelId="{7ED85519-1AB8-49A2-86B8-B0F60B229C71}" cxnId="{3D75AECE-A0F0-48E2-93B4-C98CAE3FC37E}" type="parTrans">
      <dgm:prSet/>
      <dgm:spPr/>
      <dgm:t>
        <a:bodyPr/>
        <a:p>
          <a:endParaRPr lang="zh-CN" altLang="en-US"/>
        </a:p>
      </dgm:t>
    </dgm:pt>
    <dgm:pt modelId="{B07095D6-8D32-4F15-A54E-56EE345597BB}" cxnId="{3D75AECE-A0F0-48E2-93B4-C98CAE3FC37E}" type="sibTrans">
      <dgm:prSet/>
      <dgm:spPr/>
      <dgm:t>
        <a:bodyPr/>
        <a:p>
          <a:endParaRPr lang="zh-CN" altLang="en-US"/>
        </a:p>
      </dgm:t>
    </dgm:pt>
    <dgm:pt modelId="{F1F6B7F8-F59B-440A-ADE9-140FC4FFE7E5}">
      <dgm:prSet phldrT="[文本]" custT="1"/>
      <dgm:spPr/>
      <dgm:t>
        <a:bodyPr/>
        <a:p>
          <a:r>
            <a:rPr lang="zh-CN" altLang="en-US" sz="1400">
              <a:latin typeface="黑体" panose="02010609060101010101" charset="-122"/>
              <a:ea typeface="黑体" panose="02010609060101010101" charset="-122"/>
            </a:rPr>
            <a:t>课程实验教学</a:t>
          </a:r>
        </a:p>
      </dgm:t>
    </dgm:pt>
    <dgm:pt modelId="{1FE967EC-01B6-4E13-AE8C-F37D72A2BC0E}" cxnId="{228F498F-BC3A-4567-AA7C-BB61E326E818}" type="parTrans">
      <dgm:prSet/>
      <dgm:spPr/>
      <dgm:t>
        <a:bodyPr/>
        <a:p>
          <a:endParaRPr lang="zh-CN" altLang="en-US"/>
        </a:p>
      </dgm:t>
    </dgm:pt>
    <dgm:pt modelId="{4317E391-3F0D-47DA-81F4-DB8DDB119A29}" cxnId="{228F498F-BC3A-4567-AA7C-BB61E326E818}" type="sibTrans">
      <dgm:prSet/>
      <dgm:spPr/>
      <dgm:t>
        <a:bodyPr/>
        <a:p>
          <a:endParaRPr lang="zh-CN" altLang="en-US"/>
        </a:p>
      </dgm:t>
    </dgm:pt>
    <dgm:pt modelId="{4CE993BC-676D-44D5-9B2B-EA36AE29AD10}">
      <dgm:prSet phldrT="[文本]" custT="1"/>
      <dgm:spPr/>
      <dgm:t>
        <a:bodyPr/>
        <a:p>
          <a:r>
            <a:rPr lang="zh-CN" altLang="en-US" sz="1400">
              <a:latin typeface="黑体" panose="02010609060101010101" charset="-122"/>
              <a:ea typeface="黑体" panose="02010609060101010101" charset="-122"/>
            </a:rPr>
            <a:t>课程实习教学</a:t>
          </a:r>
        </a:p>
      </dgm:t>
    </dgm:pt>
    <dgm:pt modelId="{09D29728-4603-4E64-BD75-7AA7F750BE80}" cxnId="{081F890C-D120-458E-816F-1BCC1EC61FFA}" type="parTrans">
      <dgm:prSet/>
      <dgm:spPr/>
      <dgm:t>
        <a:bodyPr/>
        <a:p>
          <a:endParaRPr lang="zh-CN" altLang="en-US"/>
        </a:p>
      </dgm:t>
    </dgm:pt>
    <dgm:pt modelId="{AE061141-7629-4436-9254-7A159B203A18}" cxnId="{081F890C-D120-458E-816F-1BCC1EC61FFA}" type="sibTrans">
      <dgm:prSet/>
      <dgm:spPr/>
      <dgm:t>
        <a:bodyPr/>
        <a:p>
          <a:endParaRPr lang="zh-CN" altLang="en-US"/>
        </a:p>
      </dgm:t>
    </dgm:pt>
    <dgm:pt modelId="{3F7B1575-B294-41F7-A849-540E31777A3F}">
      <dgm:prSet phldrT="[文本]"/>
      <dgm:spPr/>
      <dgm:t>
        <a:bodyPr/>
        <a:p>
          <a:r>
            <a:rPr lang="zh-CN" altLang="en-US" b="1">
              <a:latin typeface="黑体" panose="02010609060101010101" charset="-122"/>
              <a:ea typeface="黑体" panose="02010609060101010101" charset="-122"/>
            </a:rPr>
            <a:t>园艺科学研究中心</a:t>
          </a:r>
        </a:p>
      </dgm:t>
    </dgm:pt>
    <dgm:pt modelId="{FA7DD901-6108-4A00-9D0F-8E3A5034FDBE}" cxnId="{032C5BE9-AD9C-47C8-B6B3-3B3FC9B00303}" type="parTrans">
      <dgm:prSet/>
      <dgm:spPr/>
      <dgm:t>
        <a:bodyPr/>
        <a:p>
          <a:endParaRPr lang="zh-CN" altLang="en-US"/>
        </a:p>
      </dgm:t>
    </dgm:pt>
    <dgm:pt modelId="{ECCF4AC3-D686-4D81-A18A-9C4B55D32836}" cxnId="{032C5BE9-AD9C-47C8-B6B3-3B3FC9B00303}" type="sibTrans">
      <dgm:prSet/>
      <dgm:spPr/>
      <dgm:t>
        <a:bodyPr/>
        <a:p>
          <a:endParaRPr lang="zh-CN" altLang="en-US"/>
        </a:p>
      </dgm:t>
    </dgm:pt>
    <dgm:pt modelId="{CC805BF6-E815-4F9D-A945-BA629A8471FB}">
      <dgm:prSet phldrT="[文本]" custT="1"/>
      <dgm:spPr/>
      <dgm:t>
        <a:bodyPr/>
        <a:p>
          <a:r>
            <a:rPr lang="zh-CN" altLang="en-US" sz="1400" b="1"/>
            <a:t>生物技术综合实习</a:t>
          </a:r>
        </a:p>
      </dgm:t>
    </dgm:pt>
    <dgm:pt modelId="{8BEAFA73-D23A-443E-9A51-2BCCC408FAA6}" cxnId="{95A1769D-2936-42F6-B2E8-82E5C0211FEB}" type="parTrans">
      <dgm:prSet/>
      <dgm:spPr/>
      <dgm:t>
        <a:bodyPr/>
        <a:p>
          <a:endParaRPr lang="zh-CN" altLang="en-US"/>
        </a:p>
      </dgm:t>
    </dgm:pt>
    <dgm:pt modelId="{8391BA5F-0C78-4444-978B-9732ABAC0227}" cxnId="{95A1769D-2936-42F6-B2E8-82E5C0211FEB}" type="sibTrans">
      <dgm:prSet/>
      <dgm:spPr/>
      <dgm:t>
        <a:bodyPr/>
        <a:p>
          <a:endParaRPr lang="zh-CN" altLang="en-US"/>
        </a:p>
      </dgm:t>
    </dgm:pt>
    <dgm:pt modelId="{46248746-51A8-4943-A01A-B0DA20B1E6FD}">
      <dgm:prSet phldrT="[文本]"/>
      <dgm:spPr/>
      <dgm:t>
        <a:bodyPr/>
        <a:p>
          <a:r>
            <a:rPr lang="zh-CN" altLang="en-US" b="1">
              <a:latin typeface="黑体" panose="02010609060101010101" charset="-122"/>
              <a:ea typeface="黑体" panose="02010609060101010101" charset="-122"/>
            </a:rPr>
            <a:t>试验示范基地</a:t>
          </a:r>
        </a:p>
      </dgm:t>
    </dgm:pt>
    <dgm:pt modelId="{6C4DC6FA-67F2-498C-8C9C-E6CBE28ECF8B}" cxnId="{01AE6F06-510F-49B4-B41F-1E813A61516B}" type="parTrans">
      <dgm:prSet/>
      <dgm:spPr/>
      <dgm:t>
        <a:bodyPr/>
        <a:p>
          <a:endParaRPr lang="zh-CN" altLang="en-US"/>
        </a:p>
      </dgm:t>
    </dgm:pt>
    <dgm:pt modelId="{14F89908-3C4C-436A-9288-0CF6A398A822}" cxnId="{01AE6F06-510F-49B4-B41F-1E813A61516B}" type="sibTrans">
      <dgm:prSet/>
      <dgm:spPr/>
      <dgm:t>
        <a:bodyPr/>
        <a:p>
          <a:endParaRPr lang="zh-CN" altLang="en-US"/>
        </a:p>
      </dgm:t>
    </dgm:pt>
    <dgm:pt modelId="{E08DF6BC-F8CC-46E6-A76B-22593990EF63}">
      <dgm:prSet phldrT="[文本]" custT="1"/>
      <dgm:spPr/>
      <dgm:t>
        <a:bodyPr/>
        <a:p>
          <a:r>
            <a:rPr lang="zh-CN" altLang="en-US" sz="1400" b="1"/>
            <a:t>专业技术综合实习</a:t>
          </a:r>
        </a:p>
      </dgm:t>
    </dgm:pt>
    <dgm:pt modelId="{C09DE73A-25A3-4BC7-BEE8-E5C84044007D}" cxnId="{55868570-700A-431A-98CA-7FA151D6C205}" type="parTrans">
      <dgm:prSet/>
      <dgm:spPr/>
      <dgm:t>
        <a:bodyPr/>
        <a:p>
          <a:endParaRPr lang="zh-CN" altLang="en-US"/>
        </a:p>
      </dgm:t>
    </dgm:pt>
    <dgm:pt modelId="{F1323A8A-7658-4285-96A8-713840D3B63F}" cxnId="{55868570-700A-431A-98CA-7FA151D6C205}" type="sibTrans">
      <dgm:prSet/>
      <dgm:spPr/>
      <dgm:t>
        <a:bodyPr/>
        <a:p>
          <a:endParaRPr lang="zh-CN" altLang="en-US"/>
        </a:p>
      </dgm:t>
    </dgm:pt>
    <dgm:pt modelId="{A58CCA8A-E7C7-46CD-A220-C05FF548A46A}">
      <dgm:prSet phldrT="[文本]" custT="1"/>
      <dgm:spPr/>
      <dgm:t>
        <a:bodyPr/>
        <a:p>
          <a:r>
            <a:rPr lang="zh-CN" altLang="en-US" sz="1400" b="1"/>
            <a:t>创业项目训练</a:t>
          </a:r>
        </a:p>
      </dgm:t>
    </dgm:pt>
    <dgm:pt modelId="{938155FC-9D24-454D-8495-0392E77E3F75}" cxnId="{99ACFEFB-E30A-423B-8202-6F815886AD65}" type="parTrans">
      <dgm:prSet/>
      <dgm:spPr/>
      <dgm:t>
        <a:bodyPr/>
        <a:p>
          <a:endParaRPr lang="zh-CN" altLang="en-US"/>
        </a:p>
      </dgm:t>
    </dgm:pt>
    <dgm:pt modelId="{A9EA412B-A65C-4F77-8372-588D94E58ABC}" cxnId="{99ACFEFB-E30A-423B-8202-6F815886AD65}" type="sibTrans">
      <dgm:prSet/>
      <dgm:spPr/>
      <dgm:t>
        <a:bodyPr/>
        <a:p>
          <a:endParaRPr lang="zh-CN" altLang="en-US"/>
        </a:p>
      </dgm:t>
    </dgm:pt>
    <dgm:pt modelId="{375CCE53-5633-447A-BE9E-7CB0B3463157}">
      <dgm:prSet phldrT="[文本]" custT="1"/>
      <dgm:spPr/>
      <dgm:t>
        <a:bodyPr/>
        <a:p>
          <a:r>
            <a:rPr lang="zh-CN" altLang="en-US" sz="1400" b="1"/>
            <a:t>创新项目训练</a:t>
          </a:r>
        </a:p>
      </dgm:t>
    </dgm:pt>
    <dgm:pt modelId="{9A053E9F-EB1E-46A0-BF90-A220604A67A9}" cxnId="{76952DA4-3896-412C-8B77-E3075992F376}" type="parTrans">
      <dgm:prSet/>
      <dgm:spPr/>
      <dgm:t>
        <a:bodyPr/>
        <a:p>
          <a:endParaRPr lang="zh-CN" altLang="en-US"/>
        </a:p>
      </dgm:t>
    </dgm:pt>
    <dgm:pt modelId="{7E01F6C2-A547-461E-99B0-C0759CF76B9E}" cxnId="{76952DA4-3896-412C-8B77-E3075992F376}" type="sibTrans">
      <dgm:prSet/>
      <dgm:spPr/>
      <dgm:t>
        <a:bodyPr/>
        <a:p>
          <a:endParaRPr lang="zh-CN" altLang="en-US"/>
        </a:p>
      </dgm:t>
    </dgm:pt>
    <dgm:pt modelId="{E89A42F6-8AED-4F3E-A8C9-5A822A99D12B}">
      <dgm:prSet phldrT="[文本]" custT="1"/>
      <dgm:spPr/>
      <dgm:t>
        <a:bodyPr/>
        <a:p>
          <a:r>
            <a:rPr lang="zh-CN" altLang="en-US" sz="1400" b="1"/>
            <a:t>创新人才培养</a:t>
          </a:r>
        </a:p>
      </dgm:t>
    </dgm:pt>
    <dgm:pt modelId="{5A8C3496-2976-47A1-8E2C-01D7CFAEB2A5}" cxnId="{17451F41-29CC-40F9-B23A-20CE4C619511}" type="parTrans">
      <dgm:prSet/>
      <dgm:spPr/>
      <dgm:t>
        <a:bodyPr/>
        <a:p>
          <a:endParaRPr lang="zh-CN" altLang="en-US"/>
        </a:p>
      </dgm:t>
    </dgm:pt>
    <dgm:pt modelId="{5C3E2314-7BBA-4C95-9608-58CFE78A5D4B}" cxnId="{17451F41-29CC-40F9-B23A-20CE4C619511}" type="sibTrans">
      <dgm:prSet/>
      <dgm:spPr/>
      <dgm:t>
        <a:bodyPr/>
        <a:p>
          <a:endParaRPr lang="zh-CN" altLang="en-US"/>
        </a:p>
      </dgm:t>
    </dgm:pt>
    <dgm:pt modelId="{2DEDFE64-C126-4091-812A-DDD9034DBE4C}">
      <dgm:prSet phldrT="[文本]" custT="1"/>
      <dgm:spPr/>
      <dgm:t>
        <a:bodyPr/>
        <a:p>
          <a:r>
            <a:rPr lang="zh-CN" altLang="en-US" sz="1400" b="1"/>
            <a:t>创业人才培养</a:t>
          </a:r>
        </a:p>
      </dgm:t>
    </dgm:pt>
    <dgm:pt modelId="{E5291AB5-00D0-4949-80D1-FDC3574A68E2}" cxnId="{BD4A3D8B-6305-4E26-85C3-A19BA0A37A1F}" type="parTrans">
      <dgm:prSet/>
      <dgm:spPr/>
      <dgm:t>
        <a:bodyPr/>
        <a:p>
          <a:endParaRPr lang="zh-CN" altLang="en-US"/>
        </a:p>
      </dgm:t>
    </dgm:pt>
    <dgm:pt modelId="{F43222F1-56A4-41B6-8633-7FBB50FB6F20}" cxnId="{BD4A3D8B-6305-4E26-85C3-A19BA0A37A1F}" type="sibTrans">
      <dgm:prSet/>
      <dgm:spPr/>
      <dgm:t>
        <a:bodyPr/>
        <a:p>
          <a:endParaRPr lang="zh-CN" altLang="en-US"/>
        </a:p>
      </dgm:t>
    </dgm:pt>
    <dgm:pt modelId="{EDFFD79E-15B3-4014-95D9-6A3FECCE39B4}" type="pres">
      <dgm:prSet presAssocID="{FBE3A0A1-D2E9-4100-BD3B-51BFC3D32A2F}" presName="Name0" presStyleCnt="0">
        <dgm:presLayoutVars>
          <dgm:dir/>
          <dgm:animLvl val="lvl"/>
          <dgm:resizeHandles val="exact"/>
        </dgm:presLayoutVars>
      </dgm:prSet>
      <dgm:spPr/>
      <dgm:t>
        <a:bodyPr/>
        <a:p>
          <a:endParaRPr lang="zh-CN" altLang="en-US"/>
        </a:p>
      </dgm:t>
    </dgm:pt>
    <dgm:pt modelId="{A91643CB-6B2B-46D9-B41B-0EB717EDE759}" type="pres">
      <dgm:prSet presAssocID="{8172B5F7-D0BA-4D45-A71F-D1D48EAE9187}" presName="composite" presStyleCnt="0"/>
      <dgm:spPr/>
    </dgm:pt>
    <dgm:pt modelId="{C365FE48-69A7-46CB-B4BD-CAC864DB8786}" type="pres">
      <dgm:prSet presAssocID="{8172B5F7-D0BA-4D45-A71F-D1D48EAE9187}" presName="parTx" presStyleLbl="alignNode1" presStyleIdx="0" presStyleCnt="3">
        <dgm:presLayoutVars>
          <dgm:chMax val="0"/>
          <dgm:chPref val="0"/>
          <dgm:bulletEnabled val="1"/>
        </dgm:presLayoutVars>
      </dgm:prSet>
      <dgm:spPr/>
      <dgm:t>
        <a:bodyPr/>
        <a:p>
          <a:endParaRPr lang="zh-CN" altLang="en-US"/>
        </a:p>
      </dgm:t>
    </dgm:pt>
    <dgm:pt modelId="{A3DEB14C-63F9-40CB-9B54-29EE19589AA1}" type="pres">
      <dgm:prSet presAssocID="{8172B5F7-D0BA-4D45-A71F-D1D48EAE9187}" presName="desTx" presStyleLbl="alignAccFollowNode1" presStyleIdx="0" presStyleCnt="3">
        <dgm:presLayoutVars>
          <dgm:bulletEnabled val="1"/>
        </dgm:presLayoutVars>
      </dgm:prSet>
      <dgm:spPr/>
      <dgm:t>
        <a:bodyPr/>
        <a:p>
          <a:endParaRPr lang="zh-CN" altLang="en-US"/>
        </a:p>
      </dgm:t>
    </dgm:pt>
    <dgm:pt modelId="{E097DB4A-E5B5-438D-8CF5-A1000AE23C60}" type="pres">
      <dgm:prSet presAssocID="{B07095D6-8D32-4F15-A54E-56EE345597BB}" presName="space" presStyleCnt="0"/>
      <dgm:spPr/>
    </dgm:pt>
    <dgm:pt modelId="{5E69F560-8B09-4044-A67F-510094297FE6}" type="pres">
      <dgm:prSet presAssocID="{3F7B1575-B294-41F7-A849-540E31777A3F}" presName="composite" presStyleCnt="0"/>
      <dgm:spPr/>
    </dgm:pt>
    <dgm:pt modelId="{31E1E854-9CFC-4F9A-BF50-DF2E27092B79}" type="pres">
      <dgm:prSet presAssocID="{3F7B1575-B294-41F7-A849-540E31777A3F}" presName="parTx" presStyleLbl="alignNode1" presStyleIdx="1" presStyleCnt="3">
        <dgm:presLayoutVars>
          <dgm:chMax val="0"/>
          <dgm:chPref val="0"/>
          <dgm:bulletEnabled val="1"/>
        </dgm:presLayoutVars>
      </dgm:prSet>
      <dgm:spPr/>
      <dgm:t>
        <a:bodyPr/>
        <a:p>
          <a:endParaRPr lang="zh-CN" altLang="en-US"/>
        </a:p>
      </dgm:t>
    </dgm:pt>
    <dgm:pt modelId="{63DB913C-EDB3-45FB-87D7-76419656C003}" type="pres">
      <dgm:prSet presAssocID="{3F7B1575-B294-41F7-A849-540E31777A3F}" presName="desTx" presStyleLbl="alignAccFollowNode1" presStyleIdx="1" presStyleCnt="3">
        <dgm:presLayoutVars>
          <dgm:bulletEnabled val="1"/>
        </dgm:presLayoutVars>
      </dgm:prSet>
      <dgm:spPr/>
      <dgm:t>
        <a:bodyPr/>
        <a:p>
          <a:endParaRPr lang="zh-CN" altLang="en-US"/>
        </a:p>
      </dgm:t>
    </dgm:pt>
    <dgm:pt modelId="{1159DA77-098A-452F-92D1-29932A0DFCEF}" type="pres">
      <dgm:prSet presAssocID="{ECCF4AC3-D686-4D81-A18A-9C4B55D32836}" presName="space" presStyleCnt="0"/>
      <dgm:spPr/>
    </dgm:pt>
    <dgm:pt modelId="{28779AB8-B1AB-415C-8BCB-D0C714966C9D}" type="pres">
      <dgm:prSet presAssocID="{46248746-51A8-4943-A01A-B0DA20B1E6FD}" presName="composite" presStyleCnt="0"/>
      <dgm:spPr/>
    </dgm:pt>
    <dgm:pt modelId="{22E568DE-75E9-4D33-96F0-036AC25B5FD4}" type="pres">
      <dgm:prSet presAssocID="{46248746-51A8-4943-A01A-B0DA20B1E6FD}" presName="parTx" presStyleLbl="alignNode1" presStyleIdx="2" presStyleCnt="3">
        <dgm:presLayoutVars>
          <dgm:chMax val="0"/>
          <dgm:chPref val="0"/>
          <dgm:bulletEnabled val="1"/>
        </dgm:presLayoutVars>
      </dgm:prSet>
      <dgm:spPr/>
      <dgm:t>
        <a:bodyPr/>
        <a:p>
          <a:endParaRPr lang="zh-CN" altLang="en-US"/>
        </a:p>
      </dgm:t>
    </dgm:pt>
    <dgm:pt modelId="{A82307D8-26D4-4356-8C34-329FBF7D2E60}" type="pres">
      <dgm:prSet presAssocID="{46248746-51A8-4943-A01A-B0DA20B1E6FD}" presName="desTx" presStyleLbl="alignAccFollowNode1" presStyleIdx="2" presStyleCnt="3">
        <dgm:presLayoutVars>
          <dgm:bulletEnabled val="1"/>
        </dgm:presLayoutVars>
      </dgm:prSet>
      <dgm:spPr/>
      <dgm:t>
        <a:bodyPr/>
        <a:p>
          <a:endParaRPr lang="zh-CN" altLang="en-US"/>
        </a:p>
      </dgm:t>
    </dgm:pt>
  </dgm:ptLst>
  <dgm:cxnLst>
    <dgm:cxn modelId="{55868570-700A-431A-98CA-7FA151D6C205}" srcId="{46248746-51A8-4943-A01A-B0DA20B1E6FD}" destId="{E08DF6BC-F8CC-46E6-A76B-22593990EF63}" srcOrd="0" destOrd="0" parTransId="{C09DE73A-25A3-4BC7-BEE8-E5C84044007D}" sibTransId="{F1323A8A-7658-4285-96A8-713840D3B63F}"/>
    <dgm:cxn modelId="{BD4A3D8B-6305-4E26-85C3-A19BA0A37A1F}" srcId="{46248746-51A8-4943-A01A-B0DA20B1E6FD}" destId="{2DEDFE64-C126-4091-812A-DDD9034DBE4C}" srcOrd="2" destOrd="0" parTransId="{E5291AB5-00D0-4949-80D1-FDC3574A68E2}" sibTransId="{F43222F1-56A4-41B6-8633-7FBB50FB6F20}"/>
    <dgm:cxn modelId="{D0768A8D-C197-4A4D-9A1C-515FD662E2A6}" type="presOf" srcId="{3F7B1575-B294-41F7-A849-540E31777A3F}" destId="{31E1E854-9CFC-4F9A-BF50-DF2E27092B79}" srcOrd="0" destOrd="0" presId="urn:microsoft.com/office/officeart/2005/8/layout/hList1"/>
    <dgm:cxn modelId="{C8B3B12B-9002-4773-B5CD-26F7A7D028D9}" type="presOf" srcId="{8172B5F7-D0BA-4D45-A71F-D1D48EAE9187}" destId="{C365FE48-69A7-46CB-B4BD-CAC864DB8786}" srcOrd="0" destOrd="0" presId="urn:microsoft.com/office/officeart/2005/8/layout/hList1"/>
    <dgm:cxn modelId="{F83818B7-0299-466D-B936-363BF24D40A3}" type="presOf" srcId="{FBE3A0A1-D2E9-4100-BD3B-51BFC3D32A2F}" destId="{EDFFD79E-15B3-4014-95D9-6A3FECCE39B4}" srcOrd="0" destOrd="0" presId="urn:microsoft.com/office/officeart/2005/8/layout/hList1"/>
    <dgm:cxn modelId="{17451F41-29CC-40F9-B23A-20CE4C619511}" srcId="{3F7B1575-B294-41F7-A849-540E31777A3F}" destId="{E89A42F6-8AED-4F3E-A8C9-5A822A99D12B}" srcOrd="2" destOrd="0" parTransId="{5A8C3496-2976-47A1-8E2C-01D7CFAEB2A5}" sibTransId="{5C3E2314-7BBA-4C95-9608-58CFE78A5D4B}"/>
    <dgm:cxn modelId="{3D75AECE-A0F0-48E2-93B4-C98CAE3FC37E}" srcId="{FBE3A0A1-D2E9-4100-BD3B-51BFC3D32A2F}" destId="{8172B5F7-D0BA-4D45-A71F-D1D48EAE9187}" srcOrd="0" destOrd="0" parTransId="{7ED85519-1AB8-49A2-86B8-B0F60B229C71}" sibTransId="{B07095D6-8D32-4F15-A54E-56EE345597BB}"/>
    <dgm:cxn modelId="{5B286028-6731-45D9-9151-10D27D56CE60}" type="presOf" srcId="{375CCE53-5633-447A-BE9E-7CB0B3463157}" destId="{63DB913C-EDB3-45FB-87D7-76419656C003}" srcOrd="0" destOrd="1" presId="urn:microsoft.com/office/officeart/2005/8/layout/hList1"/>
    <dgm:cxn modelId="{081F890C-D120-458E-816F-1BCC1EC61FFA}" srcId="{8172B5F7-D0BA-4D45-A71F-D1D48EAE9187}" destId="{4CE993BC-676D-44D5-9B2B-EA36AE29AD10}" srcOrd="1" destOrd="0" parTransId="{09D29728-4603-4E64-BD75-7AA7F750BE80}" sibTransId="{AE061141-7629-4436-9254-7A159B203A18}"/>
    <dgm:cxn modelId="{B0A0B573-5560-4B4F-9D2B-D41FF9B16FEF}" type="presOf" srcId="{E08DF6BC-F8CC-46E6-A76B-22593990EF63}" destId="{A82307D8-26D4-4356-8C34-329FBF7D2E60}" srcOrd="0" destOrd="0" presId="urn:microsoft.com/office/officeart/2005/8/layout/hList1"/>
    <dgm:cxn modelId="{95A1769D-2936-42F6-B2E8-82E5C0211FEB}" srcId="{3F7B1575-B294-41F7-A849-540E31777A3F}" destId="{CC805BF6-E815-4F9D-A945-BA629A8471FB}" srcOrd="0" destOrd="0" parTransId="{8BEAFA73-D23A-443E-9A51-2BCCC408FAA6}" sibTransId="{8391BA5F-0C78-4444-978B-9732ABAC0227}"/>
    <dgm:cxn modelId="{99ACFEFB-E30A-423B-8202-6F815886AD65}" srcId="{46248746-51A8-4943-A01A-B0DA20B1E6FD}" destId="{A58CCA8A-E7C7-46CD-A220-C05FF548A46A}" srcOrd="1" destOrd="0" parTransId="{938155FC-9D24-454D-8495-0392E77E3F75}" sibTransId="{A9EA412B-A65C-4F77-8372-588D94E58ABC}"/>
    <dgm:cxn modelId="{76952DA4-3896-412C-8B77-E3075992F376}" srcId="{3F7B1575-B294-41F7-A849-540E31777A3F}" destId="{375CCE53-5633-447A-BE9E-7CB0B3463157}" srcOrd="1" destOrd="0" parTransId="{9A053E9F-EB1E-46A0-BF90-A220604A67A9}" sibTransId="{7E01F6C2-A547-461E-99B0-C0759CF76B9E}"/>
    <dgm:cxn modelId="{1FA2DA17-470F-42EA-8B87-53DDBE38F26A}" type="presOf" srcId="{A58CCA8A-E7C7-46CD-A220-C05FF548A46A}" destId="{A82307D8-26D4-4356-8C34-329FBF7D2E60}" srcOrd="0" destOrd="1" presId="urn:microsoft.com/office/officeart/2005/8/layout/hList1"/>
    <dgm:cxn modelId="{032C5BE9-AD9C-47C8-B6B3-3B3FC9B00303}" srcId="{FBE3A0A1-D2E9-4100-BD3B-51BFC3D32A2F}" destId="{3F7B1575-B294-41F7-A849-540E31777A3F}" srcOrd="1" destOrd="0" parTransId="{FA7DD901-6108-4A00-9D0F-8E3A5034FDBE}" sibTransId="{ECCF4AC3-D686-4D81-A18A-9C4B55D32836}"/>
    <dgm:cxn modelId="{2E9ADD60-F1CB-469B-BD1C-C38C80B7EBE1}" type="presOf" srcId="{2DEDFE64-C126-4091-812A-DDD9034DBE4C}" destId="{A82307D8-26D4-4356-8C34-329FBF7D2E60}" srcOrd="0" destOrd="2" presId="urn:microsoft.com/office/officeart/2005/8/layout/hList1"/>
    <dgm:cxn modelId="{2CA0A6F8-18D4-43CB-9F3C-6A0C2470AD76}" type="presOf" srcId="{46248746-51A8-4943-A01A-B0DA20B1E6FD}" destId="{22E568DE-75E9-4D33-96F0-036AC25B5FD4}" srcOrd="0" destOrd="0" presId="urn:microsoft.com/office/officeart/2005/8/layout/hList1"/>
    <dgm:cxn modelId="{E4B9D6FE-7B70-424C-95A8-98AAEC694BBE}" type="presOf" srcId="{F1F6B7F8-F59B-440A-ADE9-140FC4FFE7E5}" destId="{A3DEB14C-63F9-40CB-9B54-29EE19589AA1}" srcOrd="0" destOrd="0" presId="urn:microsoft.com/office/officeart/2005/8/layout/hList1"/>
    <dgm:cxn modelId="{0C5E6D12-874B-45CD-8610-9BB5F4E2AEAE}" type="presOf" srcId="{4CE993BC-676D-44D5-9B2B-EA36AE29AD10}" destId="{A3DEB14C-63F9-40CB-9B54-29EE19589AA1}" srcOrd="0" destOrd="1" presId="urn:microsoft.com/office/officeart/2005/8/layout/hList1"/>
    <dgm:cxn modelId="{228F498F-BC3A-4567-AA7C-BB61E326E818}" srcId="{8172B5F7-D0BA-4D45-A71F-D1D48EAE9187}" destId="{F1F6B7F8-F59B-440A-ADE9-140FC4FFE7E5}" srcOrd="0" destOrd="0" parTransId="{1FE967EC-01B6-4E13-AE8C-F37D72A2BC0E}" sibTransId="{4317E391-3F0D-47DA-81F4-DB8DDB119A29}"/>
    <dgm:cxn modelId="{7E103234-FBC9-4363-96AA-F48D14BDE1C5}" type="presOf" srcId="{CC805BF6-E815-4F9D-A945-BA629A8471FB}" destId="{63DB913C-EDB3-45FB-87D7-76419656C003}" srcOrd="0" destOrd="0" presId="urn:microsoft.com/office/officeart/2005/8/layout/hList1"/>
    <dgm:cxn modelId="{47DF33CD-7EA2-4E99-987B-45B940CD95DE}" type="presOf" srcId="{E89A42F6-8AED-4F3E-A8C9-5A822A99D12B}" destId="{63DB913C-EDB3-45FB-87D7-76419656C003}" srcOrd="0" destOrd="2" presId="urn:microsoft.com/office/officeart/2005/8/layout/hList1"/>
    <dgm:cxn modelId="{01AE6F06-510F-49B4-B41F-1E813A61516B}" srcId="{FBE3A0A1-D2E9-4100-BD3B-51BFC3D32A2F}" destId="{46248746-51A8-4943-A01A-B0DA20B1E6FD}" srcOrd="2" destOrd="0" parTransId="{6C4DC6FA-67F2-498C-8C9C-E6CBE28ECF8B}" sibTransId="{14F89908-3C4C-436A-9288-0CF6A398A822}"/>
    <dgm:cxn modelId="{1596A00A-6949-4851-A75E-2A41285184EF}" type="presParOf" srcId="{EDFFD79E-15B3-4014-95D9-6A3FECCE39B4}" destId="{A91643CB-6B2B-46D9-B41B-0EB717EDE759}" srcOrd="0" destOrd="0" presId="urn:microsoft.com/office/officeart/2005/8/layout/hList1"/>
    <dgm:cxn modelId="{976E7BDA-9B33-42D2-B0EB-7AE6753E996E}" type="presParOf" srcId="{A91643CB-6B2B-46D9-B41B-0EB717EDE759}" destId="{C365FE48-69A7-46CB-B4BD-CAC864DB8786}" srcOrd="0" destOrd="0" presId="urn:microsoft.com/office/officeart/2005/8/layout/hList1"/>
    <dgm:cxn modelId="{47F98C8E-78AD-40FF-A607-E7141DA0F614}" type="presParOf" srcId="{A91643CB-6B2B-46D9-B41B-0EB717EDE759}" destId="{A3DEB14C-63F9-40CB-9B54-29EE19589AA1}" srcOrd="1" destOrd="0" presId="urn:microsoft.com/office/officeart/2005/8/layout/hList1"/>
    <dgm:cxn modelId="{8E51CB32-1DC3-4888-819E-B79FF5ED62BE}" type="presParOf" srcId="{EDFFD79E-15B3-4014-95D9-6A3FECCE39B4}" destId="{E097DB4A-E5B5-438D-8CF5-A1000AE23C60}" srcOrd="1" destOrd="0" presId="urn:microsoft.com/office/officeart/2005/8/layout/hList1"/>
    <dgm:cxn modelId="{C1AEC6AF-7DBB-4769-B673-FF918CAF6762}" type="presParOf" srcId="{EDFFD79E-15B3-4014-95D9-6A3FECCE39B4}" destId="{5E69F560-8B09-4044-A67F-510094297FE6}" srcOrd="2" destOrd="0" presId="urn:microsoft.com/office/officeart/2005/8/layout/hList1"/>
    <dgm:cxn modelId="{74E07121-FF66-44FF-9B23-47FDFF996642}" type="presParOf" srcId="{5E69F560-8B09-4044-A67F-510094297FE6}" destId="{31E1E854-9CFC-4F9A-BF50-DF2E27092B79}" srcOrd="0" destOrd="0" presId="urn:microsoft.com/office/officeart/2005/8/layout/hList1"/>
    <dgm:cxn modelId="{B16F3858-AB71-474E-8065-B34C9636D54B}" type="presParOf" srcId="{5E69F560-8B09-4044-A67F-510094297FE6}" destId="{63DB913C-EDB3-45FB-87D7-76419656C003}" srcOrd="1" destOrd="0" presId="urn:microsoft.com/office/officeart/2005/8/layout/hList1"/>
    <dgm:cxn modelId="{7808BEF6-74A2-4B18-9B0F-90AAD7EEF500}" type="presParOf" srcId="{EDFFD79E-15B3-4014-95D9-6A3FECCE39B4}" destId="{1159DA77-098A-452F-92D1-29932A0DFCEF}" srcOrd="3" destOrd="0" presId="urn:microsoft.com/office/officeart/2005/8/layout/hList1"/>
    <dgm:cxn modelId="{5B1BF045-E0AA-4147-A440-9C12DA57CF7C}" type="presParOf" srcId="{EDFFD79E-15B3-4014-95D9-6A3FECCE39B4}" destId="{28779AB8-B1AB-415C-8BCB-D0C714966C9D}" srcOrd="4" destOrd="0" presId="urn:microsoft.com/office/officeart/2005/8/layout/hList1"/>
    <dgm:cxn modelId="{A4B6140B-B2EF-40B4-B945-36419CF7BE36}" type="presParOf" srcId="{28779AB8-B1AB-415C-8BCB-D0C714966C9D}" destId="{22E568DE-75E9-4D33-96F0-036AC25B5FD4}" srcOrd="0" destOrd="0" presId="urn:microsoft.com/office/officeart/2005/8/layout/hList1"/>
    <dgm:cxn modelId="{6AFFBE7C-1151-49EF-BE54-7CED3D1337BC}" type="presParOf" srcId="{28779AB8-B1AB-415C-8BCB-D0C714966C9D}" destId="{A82307D8-26D4-4356-8C34-329FBF7D2E60}" srcOrd="1" destOrd="0" presId="urn:microsoft.com/office/officeart/2005/8/layout/h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5FE48-69A7-46CB-B4BD-CAC864DB8786}">
      <dsp:nvSpPr>
        <dsp:cNvPr id="0" name=""/>
        <dsp:cNvSpPr/>
      </dsp:nvSpPr>
      <dsp:spPr>
        <a:xfrm>
          <a:off x="1470" y="184321"/>
          <a:ext cx="1433661" cy="56904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zh-CN" altLang="en-US" sz="1500" b="1" kern="1200">
              <a:solidFill>
                <a:schemeClr val="bg2"/>
              </a:solidFill>
              <a:latin typeface="黑体" panose="02010609060101010101" charset="-122"/>
              <a:ea typeface="黑体" panose="02010609060101010101" charset="-122"/>
            </a:rPr>
            <a:t>教学实验中心</a:t>
          </a:r>
        </a:p>
      </dsp:txBody>
      <dsp:txXfrm>
        <a:off x="1470" y="184321"/>
        <a:ext cx="1433661" cy="569043"/>
      </dsp:txXfrm>
    </dsp:sp>
    <dsp:sp modelId="{A3DEB14C-63F9-40CB-9B54-29EE19589AA1}">
      <dsp:nvSpPr>
        <dsp:cNvPr id="0" name=""/>
        <dsp:cNvSpPr/>
      </dsp:nvSpPr>
      <dsp:spPr>
        <a:xfrm>
          <a:off x="1470" y="753365"/>
          <a:ext cx="1433661" cy="10911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CN" altLang="en-US" sz="1400" kern="1200">
              <a:latin typeface="黑体" panose="02010609060101010101" charset="-122"/>
              <a:ea typeface="黑体" panose="02010609060101010101" charset="-122"/>
            </a:rPr>
            <a:t>课程实验教学</a:t>
          </a:r>
        </a:p>
        <a:p>
          <a:pPr marL="114300" lvl="1" indent="-114300" algn="l" defTabSz="622300">
            <a:lnSpc>
              <a:spcPct val="90000"/>
            </a:lnSpc>
            <a:spcBef>
              <a:spcPct val="0"/>
            </a:spcBef>
            <a:spcAft>
              <a:spcPct val="15000"/>
            </a:spcAft>
            <a:buChar char="••"/>
          </a:pPr>
          <a:r>
            <a:rPr lang="zh-CN" altLang="en-US" sz="1400" kern="1200">
              <a:latin typeface="黑体" panose="02010609060101010101" charset="-122"/>
              <a:ea typeface="黑体" panose="02010609060101010101" charset="-122"/>
            </a:rPr>
            <a:t>课程实习教学</a:t>
          </a:r>
        </a:p>
      </dsp:txBody>
      <dsp:txXfrm>
        <a:off x="1470" y="753365"/>
        <a:ext cx="1433661" cy="1091137"/>
      </dsp:txXfrm>
    </dsp:sp>
    <dsp:sp modelId="{31E1E854-9CFC-4F9A-BF50-DF2E27092B79}">
      <dsp:nvSpPr>
        <dsp:cNvPr id="0" name=""/>
        <dsp:cNvSpPr/>
      </dsp:nvSpPr>
      <dsp:spPr>
        <a:xfrm>
          <a:off x="1635844" y="184321"/>
          <a:ext cx="1433661" cy="56904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zh-CN" altLang="en-US" sz="1500" b="1" kern="1200">
              <a:latin typeface="黑体" panose="02010609060101010101" charset="-122"/>
              <a:ea typeface="黑体" panose="02010609060101010101" charset="-122"/>
            </a:rPr>
            <a:t>园艺科学研究中心</a:t>
          </a:r>
        </a:p>
      </dsp:txBody>
      <dsp:txXfrm>
        <a:off x="1635844" y="184321"/>
        <a:ext cx="1433661" cy="569043"/>
      </dsp:txXfrm>
    </dsp:sp>
    <dsp:sp modelId="{63DB913C-EDB3-45FB-87D7-76419656C003}">
      <dsp:nvSpPr>
        <dsp:cNvPr id="0" name=""/>
        <dsp:cNvSpPr/>
      </dsp:nvSpPr>
      <dsp:spPr>
        <a:xfrm>
          <a:off x="1635844" y="753365"/>
          <a:ext cx="1433661" cy="10911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CN" altLang="en-US" sz="1400" b="1" kern="1200"/>
            <a:t>生物技术综合实习</a:t>
          </a:r>
        </a:p>
        <a:p>
          <a:pPr marL="114300" lvl="1" indent="-114300" algn="l" defTabSz="622300">
            <a:lnSpc>
              <a:spcPct val="90000"/>
            </a:lnSpc>
            <a:spcBef>
              <a:spcPct val="0"/>
            </a:spcBef>
            <a:spcAft>
              <a:spcPct val="15000"/>
            </a:spcAft>
            <a:buChar char="••"/>
          </a:pPr>
          <a:r>
            <a:rPr lang="zh-CN" altLang="en-US" sz="1400" b="1" kern="1200"/>
            <a:t>创新项目训练</a:t>
          </a:r>
        </a:p>
        <a:p>
          <a:pPr marL="114300" lvl="1" indent="-114300" algn="l" defTabSz="622300">
            <a:lnSpc>
              <a:spcPct val="90000"/>
            </a:lnSpc>
            <a:spcBef>
              <a:spcPct val="0"/>
            </a:spcBef>
            <a:spcAft>
              <a:spcPct val="15000"/>
            </a:spcAft>
            <a:buChar char="••"/>
          </a:pPr>
          <a:r>
            <a:rPr lang="zh-CN" altLang="en-US" sz="1400" b="1" kern="1200"/>
            <a:t>创新人才培养</a:t>
          </a:r>
        </a:p>
      </dsp:txBody>
      <dsp:txXfrm>
        <a:off x="1635844" y="753365"/>
        <a:ext cx="1433661" cy="1091137"/>
      </dsp:txXfrm>
    </dsp:sp>
    <dsp:sp modelId="{22E568DE-75E9-4D33-96F0-036AC25B5FD4}">
      <dsp:nvSpPr>
        <dsp:cNvPr id="0" name=""/>
        <dsp:cNvSpPr/>
      </dsp:nvSpPr>
      <dsp:spPr>
        <a:xfrm>
          <a:off x="3270218" y="184321"/>
          <a:ext cx="1433661" cy="56904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zh-CN" altLang="en-US" sz="1500" b="1" kern="1200">
              <a:latin typeface="黑体" panose="02010609060101010101" charset="-122"/>
              <a:ea typeface="黑体" panose="02010609060101010101" charset="-122"/>
            </a:rPr>
            <a:t>试验示范基地</a:t>
          </a:r>
        </a:p>
      </dsp:txBody>
      <dsp:txXfrm>
        <a:off x="3270218" y="184321"/>
        <a:ext cx="1433661" cy="569043"/>
      </dsp:txXfrm>
    </dsp:sp>
    <dsp:sp modelId="{A82307D8-26D4-4356-8C34-329FBF7D2E60}">
      <dsp:nvSpPr>
        <dsp:cNvPr id="0" name=""/>
        <dsp:cNvSpPr/>
      </dsp:nvSpPr>
      <dsp:spPr>
        <a:xfrm>
          <a:off x="3270218" y="753365"/>
          <a:ext cx="1433661" cy="10911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CN" altLang="en-US" sz="1400" b="1" kern="1200"/>
            <a:t>专业技术综合实习</a:t>
          </a:r>
        </a:p>
        <a:p>
          <a:pPr marL="114300" lvl="1" indent="-114300" algn="l" defTabSz="622300">
            <a:lnSpc>
              <a:spcPct val="90000"/>
            </a:lnSpc>
            <a:spcBef>
              <a:spcPct val="0"/>
            </a:spcBef>
            <a:spcAft>
              <a:spcPct val="15000"/>
            </a:spcAft>
            <a:buChar char="••"/>
          </a:pPr>
          <a:r>
            <a:rPr lang="zh-CN" altLang="en-US" sz="1400" b="1" kern="1200"/>
            <a:t>创业项目训练</a:t>
          </a:r>
        </a:p>
        <a:p>
          <a:pPr marL="114300" lvl="1" indent="-114300" algn="l" defTabSz="622300">
            <a:lnSpc>
              <a:spcPct val="90000"/>
            </a:lnSpc>
            <a:spcBef>
              <a:spcPct val="0"/>
            </a:spcBef>
            <a:spcAft>
              <a:spcPct val="15000"/>
            </a:spcAft>
            <a:buChar char="••"/>
          </a:pPr>
          <a:r>
            <a:rPr lang="zh-CN" altLang="en-US" sz="1400" b="1" kern="1200"/>
            <a:t>创业人才培养</a:t>
          </a:r>
        </a:p>
      </dsp:txBody>
      <dsp:txXfrm>
        <a:off x="3270218" y="753365"/>
        <a:ext cx="1433661" cy="109113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626DB-6505-4F8F-950E-88125D27CD21}">
  <ds:schemaRefs/>
</ds:datastoreItem>
</file>

<file path=docProps/app.xml><?xml version="1.0" encoding="utf-8"?>
<Properties xmlns="http://schemas.openxmlformats.org/officeDocument/2006/extended-properties" xmlns:vt="http://schemas.openxmlformats.org/officeDocument/2006/docPropsVTypes">
  <Template>Normal</Template>
  <Company>高教司</Company>
  <Pages>108</Pages>
  <Words>14940</Words>
  <Characters>85160</Characters>
  <Lines>709</Lines>
  <Paragraphs>199</Paragraphs>
  <TotalTime>175</TotalTime>
  <ScaleCrop>false</ScaleCrop>
  <LinksUpToDate>false</LinksUpToDate>
  <CharactersWithSpaces>99901</CharactersWithSpaces>
  <Application>WPS Office_11.1.0.8408_F1E327BC-269C-435d-A152-05C5408002CA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2019-01-14T03:58:00Z</dcterms:created>
  <dc:creator>lenovo</dc:creator>
  <cp:lastModifiedBy>Administrator</cp:lastModifiedBy>
  <cp:lastPrinted>2017-04-28T08:11:00Z</cp:lastPrinted>
  <dcterms:modified xsi:type="dcterms:W3CDTF">2019-01-21T03:27:33Z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2052-11.1.0.8408</vt:lpwstr>
  </property>
</Properties>
</file>